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AC0275">
        <w:trPr>
          <w:divId w:val="1091242698"/>
        </w:trPr>
        <w:tc>
          <w:tcPr>
            <w:tcW w:w="3348" w:type="dxa"/>
            <w:tcMar>
              <w:top w:w="0" w:type="dxa"/>
              <w:left w:w="108" w:type="dxa"/>
              <w:bottom w:w="0" w:type="dxa"/>
              <w:right w:w="108" w:type="dxa"/>
            </w:tcMar>
            <w:hideMark/>
          </w:tcPr>
          <w:p w:rsidR="00AC0275" w:rsidRDefault="00AC0275">
            <w:pPr>
              <w:pStyle w:val="NormalWeb"/>
              <w:spacing w:before="120" w:beforeAutospacing="0"/>
              <w:jc w:val="center"/>
            </w:pPr>
            <w:r w:rsidRPr="00B91C1F">
              <w:rPr>
                <w:sz w:val="20"/>
                <w:szCs w:val="20"/>
              </w:rPr>
              <w:t>BỘ TÀI CHÍNH</w:t>
            </w:r>
            <w:r w:rsidRPr="00B91C1F">
              <w:rPr>
                <w:b/>
                <w:bCs/>
                <w:sz w:val="20"/>
                <w:szCs w:val="20"/>
              </w:rPr>
              <w:br/>
              <w:t>TỔNG CỤC THUẾ</w:t>
            </w:r>
            <w:r w:rsidRPr="00B91C1F">
              <w:rPr>
                <w:b/>
                <w:bCs/>
                <w:sz w:val="20"/>
                <w:szCs w:val="20"/>
              </w:rPr>
              <w:br/>
              <w:t>--------</w:t>
            </w:r>
          </w:p>
        </w:tc>
        <w:tc>
          <w:tcPr>
            <w:tcW w:w="5631" w:type="dxa"/>
            <w:tcMar>
              <w:top w:w="0" w:type="dxa"/>
              <w:left w:w="108" w:type="dxa"/>
              <w:bottom w:w="0" w:type="dxa"/>
              <w:right w:w="108" w:type="dxa"/>
            </w:tcMar>
            <w:hideMark/>
          </w:tcPr>
          <w:p w:rsidR="00AC0275" w:rsidRDefault="00AC0275">
            <w:pPr>
              <w:pStyle w:val="NormalWeb"/>
              <w:spacing w:before="120" w:beforeAutospacing="0"/>
              <w:jc w:val="center"/>
            </w:pPr>
            <w:r w:rsidRPr="00B91C1F">
              <w:rPr>
                <w:b/>
                <w:bCs/>
                <w:sz w:val="20"/>
                <w:szCs w:val="20"/>
              </w:rPr>
              <w:t>CỘNG HÒA XÃ HỘI CHỦ NGHĨA VIỆT NAM</w:t>
            </w:r>
            <w:r w:rsidRPr="00B91C1F">
              <w:rPr>
                <w:b/>
                <w:bCs/>
                <w:sz w:val="20"/>
                <w:szCs w:val="20"/>
              </w:rPr>
              <w:br/>
              <w:t>Độc lập - Tự do - Hạnh phúc</w:t>
            </w:r>
            <w:r w:rsidRPr="00B91C1F">
              <w:rPr>
                <w:b/>
                <w:bCs/>
                <w:sz w:val="20"/>
                <w:szCs w:val="20"/>
              </w:rPr>
              <w:br/>
              <w:t>----------------</w:t>
            </w:r>
          </w:p>
        </w:tc>
      </w:tr>
      <w:tr w:rsidR="00AC0275">
        <w:trPr>
          <w:divId w:val="1091242698"/>
        </w:trPr>
        <w:tc>
          <w:tcPr>
            <w:tcW w:w="3348" w:type="dxa"/>
            <w:tcMar>
              <w:top w:w="0" w:type="dxa"/>
              <w:left w:w="108" w:type="dxa"/>
              <w:bottom w:w="0" w:type="dxa"/>
              <w:right w:w="108" w:type="dxa"/>
            </w:tcMar>
            <w:hideMark/>
          </w:tcPr>
          <w:p w:rsidR="00AC0275" w:rsidRDefault="00AC0275">
            <w:pPr>
              <w:pStyle w:val="NormalWeb"/>
              <w:spacing w:before="120" w:beforeAutospacing="0"/>
            </w:pPr>
            <w:r w:rsidRPr="00B91C1F">
              <w:rPr>
                <w:sz w:val="20"/>
                <w:szCs w:val="20"/>
              </w:rPr>
              <w:t>Số: 4033/TCT-CS</w:t>
            </w:r>
            <w:r w:rsidRPr="00B91C1F">
              <w:rPr>
                <w:sz w:val="20"/>
                <w:szCs w:val="20"/>
              </w:rPr>
              <w:br/>
            </w:r>
            <w:r w:rsidRPr="00B91C1F">
              <w:rPr>
                <w:i/>
                <w:iCs/>
                <w:sz w:val="16"/>
                <w:szCs w:val="16"/>
              </w:rPr>
              <w:t>V/v: thuế GTGT.</w:t>
            </w:r>
          </w:p>
        </w:tc>
        <w:tc>
          <w:tcPr>
            <w:tcW w:w="5631" w:type="dxa"/>
            <w:tcMar>
              <w:top w:w="0" w:type="dxa"/>
              <w:left w:w="108" w:type="dxa"/>
              <w:bottom w:w="0" w:type="dxa"/>
              <w:right w:w="108" w:type="dxa"/>
            </w:tcMar>
            <w:hideMark/>
          </w:tcPr>
          <w:p w:rsidR="00AC0275" w:rsidRDefault="00AC0275">
            <w:pPr>
              <w:pStyle w:val="NormalWeb"/>
              <w:spacing w:before="120" w:beforeAutospacing="0"/>
              <w:jc w:val="right"/>
            </w:pPr>
            <w:r w:rsidRPr="00B91C1F">
              <w:rPr>
                <w:i/>
                <w:iCs/>
                <w:sz w:val="20"/>
                <w:szCs w:val="20"/>
              </w:rPr>
              <w:t>Hà Nội, ngày 13 tháng 11 năm 2012</w:t>
            </w:r>
          </w:p>
        </w:tc>
      </w:tr>
    </w:tbl>
    <w:p w:rsidR="00AC0275" w:rsidRDefault="00AC0275">
      <w:pPr>
        <w:pStyle w:val="NormalWeb"/>
        <w:spacing w:before="120" w:beforeAutospacing="0"/>
        <w:divId w:val="1091242698"/>
      </w:pPr>
      <w:r>
        <w:rPr>
          <w:sz w:val="20"/>
          <w:szCs w:val="20"/>
        </w:rPr>
        <w:t> </w:t>
      </w:r>
    </w:p>
    <w:tbl>
      <w:tblPr>
        <w:tblW w:w="0" w:type="auto"/>
        <w:tblCellMar>
          <w:left w:w="0" w:type="dxa"/>
          <w:right w:w="0" w:type="dxa"/>
        </w:tblCellMar>
        <w:tblLook w:val="04A0"/>
      </w:tblPr>
      <w:tblGrid>
        <w:gridCol w:w="2808"/>
        <w:gridCol w:w="6120"/>
      </w:tblGrid>
      <w:tr w:rsidR="00AC0275">
        <w:trPr>
          <w:divId w:val="1091242698"/>
        </w:trPr>
        <w:tc>
          <w:tcPr>
            <w:tcW w:w="2808" w:type="dxa"/>
            <w:tcMar>
              <w:top w:w="0" w:type="dxa"/>
              <w:left w:w="108" w:type="dxa"/>
              <w:bottom w:w="0" w:type="dxa"/>
              <w:right w:w="108" w:type="dxa"/>
            </w:tcMar>
            <w:hideMark/>
          </w:tcPr>
          <w:p w:rsidR="00AC0275" w:rsidRDefault="00AC0275">
            <w:pPr>
              <w:pStyle w:val="NormalWeb"/>
              <w:spacing w:before="120" w:beforeAutospacing="0"/>
              <w:jc w:val="right"/>
            </w:pPr>
            <w:r w:rsidRPr="00B91C1F">
              <w:rPr>
                <w:b/>
                <w:bCs/>
                <w:sz w:val="20"/>
                <w:szCs w:val="20"/>
              </w:rPr>
              <w:t>Kính gửi:</w:t>
            </w:r>
          </w:p>
        </w:tc>
        <w:tc>
          <w:tcPr>
            <w:tcW w:w="6120" w:type="dxa"/>
            <w:tcMar>
              <w:top w:w="0" w:type="dxa"/>
              <w:left w:w="108" w:type="dxa"/>
              <w:bottom w:w="0" w:type="dxa"/>
              <w:right w:w="108" w:type="dxa"/>
            </w:tcMar>
            <w:hideMark/>
          </w:tcPr>
          <w:p w:rsidR="00AC0275" w:rsidRDefault="00AC0275">
            <w:pPr>
              <w:pStyle w:val="NormalWeb"/>
              <w:spacing w:before="120" w:beforeAutospacing="0"/>
            </w:pPr>
            <w:r w:rsidRPr="00B91C1F">
              <w:rPr>
                <w:sz w:val="20"/>
                <w:szCs w:val="20"/>
              </w:rPr>
              <w:t>- Cục thuế tỉnh Bình Dương</w:t>
            </w:r>
            <w:r w:rsidRPr="00B91C1F">
              <w:rPr>
                <w:sz w:val="20"/>
                <w:szCs w:val="20"/>
              </w:rPr>
              <w:br/>
              <w:t>- Công ty TNHH White Feathers International.</w:t>
            </w:r>
            <w:r w:rsidRPr="00B91C1F">
              <w:rPr>
                <w:sz w:val="20"/>
                <w:szCs w:val="20"/>
              </w:rPr>
              <w:br/>
              <w:t>(Đ/c: L1-CV DA3-NA7 Khu CN Mỹ Phước II, huyện Bến Cát, tỉnh Bình Dương)</w:t>
            </w:r>
          </w:p>
        </w:tc>
      </w:tr>
    </w:tbl>
    <w:p w:rsidR="00AC0275" w:rsidRDefault="00AC0275">
      <w:pPr>
        <w:pStyle w:val="NormalWeb"/>
        <w:spacing w:before="120" w:beforeAutospacing="0"/>
        <w:divId w:val="1091242698"/>
      </w:pPr>
      <w:r>
        <w:rPr>
          <w:sz w:val="20"/>
          <w:szCs w:val="20"/>
        </w:rPr>
        <w:t> </w:t>
      </w:r>
    </w:p>
    <w:p w:rsidR="00AC0275" w:rsidRDefault="00AC0275">
      <w:pPr>
        <w:pStyle w:val="NormalWeb"/>
        <w:spacing w:before="120" w:beforeAutospacing="0"/>
        <w:divId w:val="1091242698"/>
      </w:pPr>
      <w:r>
        <w:rPr>
          <w:sz w:val="20"/>
          <w:szCs w:val="20"/>
        </w:rPr>
        <w:t>Tổng cục Thuế nhận được công văn số 03-05/CV-WF ngày 22/5/2012 của Công ty TNHH White Feathers International đề nghị hướng dẫn vướng mắc về khấu trừ thuế GTGT đối với chứng từ nộp thuế GTGT khâu nhập khẩu. Về vấn đề này, Tổng cục Thuế có ý kiến như sau:</w:t>
      </w:r>
    </w:p>
    <w:p w:rsidR="00AC0275" w:rsidRDefault="00AC0275">
      <w:pPr>
        <w:pStyle w:val="NormalWeb"/>
        <w:spacing w:before="120" w:beforeAutospacing="0"/>
        <w:divId w:val="1091242698"/>
      </w:pPr>
      <w:r>
        <w:rPr>
          <w:sz w:val="20"/>
          <w:szCs w:val="20"/>
        </w:rPr>
        <w:t>Tại khoản 7 Điều 14 Thông tư số 06/2012/TT-BTC ngày 11/01/2012 của Bộ Tài chính hướng dẫn thi hành một số điều của Luật thuế Giá trị gia tăng, hướng dẫn thi hành Nghị định số 123/2008/NĐ-CP ngày 08 tháng 12 năm 2008 của Chính phủ quy định chi tiết và Nghị định số 121/2011/NĐ-CP ngày 27/12/2011 của Chính phủ quy định điều kiện khấu trừ thuế GTGT: “7. Thuế GTGT đầu vào phát sinh trong tháng nào được kê khai, khấu trừ khi xác định số thuế phải nộp của tháng đó, không phân biệt đã xuất dùng hay còn để trong kho.</w:t>
      </w:r>
    </w:p>
    <w:p w:rsidR="00AC0275" w:rsidRDefault="00AC0275">
      <w:pPr>
        <w:pStyle w:val="NormalWeb"/>
        <w:spacing w:before="120" w:beforeAutospacing="0"/>
        <w:divId w:val="1091242698"/>
      </w:pPr>
      <w:r>
        <w:rPr>
          <w:sz w:val="20"/>
          <w:szCs w:val="20"/>
        </w:rPr>
        <w:t>a) Trường hợp cơ sở kinh doanh phát hiện số thuế GTGT đầu vào khi kê khai, khấu trừ còn sót hóa đơn chưa kê khai, khấu trừ thì được kê khai, khấu trừ bổ sung; thời gian để kê khai, khấu trừ bổ sung tối đa là 6 (sáu) tháng, kể từ tháng phát sinh hóa đơn bỏ sót, trừ trường hợp hướng dẫn tại điểm b khoản này.</w:t>
      </w:r>
    </w:p>
    <w:p w:rsidR="00AC0275" w:rsidRDefault="00AC0275">
      <w:pPr>
        <w:pStyle w:val="NormalWeb"/>
        <w:spacing w:before="120" w:beforeAutospacing="0"/>
        <w:divId w:val="1091242698"/>
      </w:pPr>
      <w:r>
        <w:rPr>
          <w:sz w:val="20"/>
          <w:szCs w:val="20"/>
        </w:rPr>
        <w:t>b) Trường hợp cơ sở kinh doanh kê khai sót về số thuế GTGT đã nộp ở khâu nhập khẩu (kể cả số thuế GTGT đã nộp ở khâu nhập khẩu có chứng từ nộp thuế trước ngày 01/3/2012), số thuế GTGT đầu vào đang trong giai đoạn đầu tư, chưa đi vào hoạt động thì được kê khai, khấu trừ bổ sung theo quy định của pháp luật về quản lý thuế”.</w:t>
      </w:r>
    </w:p>
    <w:p w:rsidR="00AC0275" w:rsidRDefault="00AC0275">
      <w:pPr>
        <w:pStyle w:val="NormalWeb"/>
        <w:spacing w:before="120" w:beforeAutospacing="0"/>
        <w:divId w:val="1091242698"/>
      </w:pPr>
      <w:r>
        <w:rPr>
          <w:sz w:val="20"/>
          <w:szCs w:val="20"/>
        </w:rPr>
        <w:t>Tại điểm 5 mục I Phần B Thông tư số 60/2007/TT-BTC ngày 14/6/2007 của Bộ Tài chính hướng dẫn: “5. Khai bổ sung hồ sơ khai thuế:</w:t>
      </w:r>
    </w:p>
    <w:p w:rsidR="00AC0275" w:rsidRDefault="00AC0275">
      <w:pPr>
        <w:pStyle w:val="NormalWeb"/>
        <w:spacing w:before="120" w:beforeAutospacing="0"/>
        <w:divId w:val="1091242698"/>
      </w:pPr>
      <w:r>
        <w:rPr>
          <w:sz w:val="20"/>
          <w:szCs w:val="20"/>
        </w:rPr>
        <w:t>5.1. Người nộp thuế phát hiện hồ sơ khai thuế đã nộp cho cơ quan thuế có sai sót, nhầm lẫn gây ảnh hưởng đến số thuế phải nộp thì được khai bổ sung hồ sơ khai thuế. Hồ sơ khai thuế bổ sung được nộp cho cơ quan thuế vào bất cứ ngày làm việc nào, không phụ thuộc vào thời hạn nộp hồ sơ khai thuế của lần tiếp theo, nhưng phải trước khi cơ quan thuế công bố quyết định kiểm tra thuế, thanh tra thuế tại trụ sở người nộp thuế”.</w:t>
      </w:r>
    </w:p>
    <w:p w:rsidR="00AC0275" w:rsidRDefault="00AC0275">
      <w:pPr>
        <w:pStyle w:val="NormalWeb"/>
        <w:spacing w:before="120" w:beforeAutospacing="0"/>
        <w:divId w:val="1091242698"/>
      </w:pPr>
      <w:r>
        <w:rPr>
          <w:sz w:val="20"/>
          <w:szCs w:val="20"/>
        </w:rPr>
        <w:t>Tại Khoản 5 Điều 9 Thông tư số 28/2011/TT-BTC ngày 28/2/2011 của Bộ Tài chính hướng dẫn: “5. Khai bổ sung hồ sơ khai thuế:</w:t>
      </w:r>
    </w:p>
    <w:p w:rsidR="00AC0275" w:rsidRDefault="00AC0275">
      <w:pPr>
        <w:pStyle w:val="NormalWeb"/>
        <w:spacing w:before="120" w:beforeAutospacing="0"/>
        <w:divId w:val="1091242698"/>
      </w:pPr>
      <w:r>
        <w:rPr>
          <w:sz w:val="20"/>
          <w:szCs w:val="20"/>
        </w:rPr>
        <w:t>a) Sau khi hết hạn nộp hồ sơ khai thuế theo quy định, người nộp thuế phát hiện hồ sơ khai thuế đã nộp cho cơ quan thuế có sai sót, nhầm lẫn gây ảnh hưởng đến số thuế phải nộp thì được khai bổ sung hồ sơ khai thuế. Hồ sơ khai thuế bổ sung được nộp cho cơ quan thuế vào bất cứ ngày làm việc nào, không phụ thuộc vào thời hạn nộp hồ sơ khai thuế của lần tiếp theo, nhưng phải trước khi cơ quan thuế, cơ quan có thẩm quyền công bố quyết định kiểm tra thuế, thanh tra thuế tại trụ sở người nộp thuế”.</w:t>
      </w:r>
    </w:p>
    <w:p w:rsidR="00AC0275" w:rsidRDefault="00AC0275">
      <w:pPr>
        <w:pStyle w:val="NormalWeb"/>
        <w:spacing w:before="120" w:beforeAutospacing="0"/>
        <w:divId w:val="1091242698"/>
      </w:pPr>
      <w:r>
        <w:rPr>
          <w:sz w:val="20"/>
          <w:szCs w:val="20"/>
        </w:rPr>
        <w:t>Căn cứ hướng dẫn trên, ngày 27/4/2012 Cục thuế tỉnh Bình Dương đã có công văn số 3774/CT-TT&amp;HT trả lời Công ty TNHH White Feathers International, nội dung trả lời của Cục thuế tỉnh Bình Dương là phù hợp. Đề nghị Công ty TNHH White Feathers International thực hiện theo hướng dẫn tại công văn số 3774/CT-TT&amp;HT nêu trên.</w:t>
      </w:r>
    </w:p>
    <w:p w:rsidR="00AC0275" w:rsidRDefault="00AC0275">
      <w:pPr>
        <w:pStyle w:val="NormalWeb"/>
        <w:spacing w:before="120" w:beforeAutospacing="0"/>
        <w:divId w:val="1091242698"/>
      </w:pPr>
      <w:r>
        <w:rPr>
          <w:sz w:val="20"/>
          <w:szCs w:val="20"/>
        </w:rPr>
        <w:lastRenderedPageBreak/>
        <w:t>Tổng cục Thuế trả lời để Cục thuế tỉnh Bình Dương và Công ty TNHH White Feathers International được biết./</w:t>
      </w:r>
    </w:p>
    <w:p w:rsidR="00AC0275" w:rsidRDefault="00AC0275">
      <w:pPr>
        <w:pStyle w:val="NormalWeb"/>
        <w:spacing w:before="120" w:beforeAutospacing="0"/>
        <w:divId w:val="1091242698"/>
      </w:pPr>
      <w:r>
        <w:rPr>
          <w:sz w:val="20"/>
          <w:szCs w:val="20"/>
        </w:rPr>
        <w:t> </w:t>
      </w:r>
    </w:p>
    <w:tbl>
      <w:tblPr>
        <w:tblW w:w="0" w:type="auto"/>
        <w:tblCellMar>
          <w:left w:w="0" w:type="dxa"/>
          <w:right w:w="0" w:type="dxa"/>
        </w:tblCellMar>
        <w:tblLook w:val="04A0"/>
      </w:tblPr>
      <w:tblGrid>
        <w:gridCol w:w="3984"/>
        <w:gridCol w:w="5187"/>
      </w:tblGrid>
      <w:tr w:rsidR="00AC0275">
        <w:trPr>
          <w:divId w:val="1091242698"/>
        </w:trPr>
        <w:tc>
          <w:tcPr>
            <w:tcW w:w="3984" w:type="dxa"/>
            <w:tcMar>
              <w:top w:w="0" w:type="dxa"/>
              <w:left w:w="108" w:type="dxa"/>
              <w:bottom w:w="0" w:type="dxa"/>
              <w:right w:w="108" w:type="dxa"/>
            </w:tcMar>
            <w:hideMark/>
          </w:tcPr>
          <w:p w:rsidR="00AC0275" w:rsidRDefault="00AC0275">
            <w:pPr>
              <w:pStyle w:val="NormalWeb"/>
              <w:spacing w:before="120" w:beforeAutospacing="0"/>
            </w:pPr>
            <w:r w:rsidRPr="00B91C1F">
              <w:rPr>
                <w:b/>
                <w:bCs/>
                <w:i/>
                <w:iCs/>
                <w:sz w:val="16"/>
                <w:szCs w:val="16"/>
              </w:rPr>
              <w:t> </w:t>
            </w:r>
          </w:p>
          <w:p w:rsidR="00AC0275" w:rsidRDefault="00AC0275">
            <w:pPr>
              <w:pStyle w:val="NormalWeb"/>
              <w:spacing w:before="120" w:beforeAutospacing="0"/>
            </w:pPr>
            <w:r w:rsidRPr="00B91C1F">
              <w:rPr>
                <w:b/>
                <w:bCs/>
                <w:i/>
                <w:iCs/>
                <w:sz w:val="20"/>
                <w:szCs w:val="20"/>
              </w:rPr>
              <w:t>Nơi nhận:</w:t>
            </w:r>
            <w:r w:rsidRPr="00B91C1F">
              <w:rPr>
                <w:b/>
                <w:bCs/>
                <w:i/>
                <w:iCs/>
                <w:sz w:val="20"/>
                <w:szCs w:val="20"/>
              </w:rPr>
              <w:br/>
            </w:r>
            <w:r w:rsidRPr="00B91C1F">
              <w:rPr>
                <w:sz w:val="16"/>
                <w:szCs w:val="16"/>
              </w:rPr>
              <w:t>- Như trên;</w:t>
            </w:r>
            <w:r w:rsidRPr="00B91C1F">
              <w:rPr>
                <w:sz w:val="16"/>
                <w:szCs w:val="16"/>
              </w:rPr>
              <w:br/>
              <w:t>- PTCT Cao Anh Tuấn (để báo cáo);</w:t>
            </w:r>
            <w:r w:rsidRPr="00B91C1F">
              <w:rPr>
                <w:sz w:val="16"/>
                <w:szCs w:val="16"/>
              </w:rPr>
              <w:br/>
              <w:t>- Vụ PC-TCT;</w:t>
            </w:r>
            <w:r w:rsidRPr="00B91C1F">
              <w:rPr>
                <w:sz w:val="16"/>
                <w:szCs w:val="16"/>
              </w:rPr>
              <w:br/>
              <w:t>- Lưu: VT, CS (2).</w:t>
            </w:r>
          </w:p>
        </w:tc>
        <w:tc>
          <w:tcPr>
            <w:tcW w:w="5187" w:type="dxa"/>
            <w:tcMar>
              <w:top w:w="0" w:type="dxa"/>
              <w:left w:w="108" w:type="dxa"/>
              <w:bottom w:w="0" w:type="dxa"/>
              <w:right w:w="108" w:type="dxa"/>
            </w:tcMar>
            <w:hideMark/>
          </w:tcPr>
          <w:p w:rsidR="00AC0275" w:rsidRDefault="00AC0275">
            <w:pPr>
              <w:pStyle w:val="NormalWeb"/>
              <w:spacing w:before="120" w:beforeAutospacing="0"/>
              <w:jc w:val="center"/>
            </w:pPr>
            <w:r w:rsidRPr="00B91C1F">
              <w:rPr>
                <w:b/>
                <w:bCs/>
                <w:sz w:val="20"/>
                <w:szCs w:val="20"/>
              </w:rPr>
              <w:t>TL. TỔNG CỤC TRƯỞNG</w:t>
            </w:r>
            <w:r w:rsidRPr="00B91C1F">
              <w:rPr>
                <w:b/>
                <w:bCs/>
                <w:sz w:val="20"/>
                <w:szCs w:val="20"/>
              </w:rPr>
              <w:br/>
              <w:t>KT. VỤ TRƯỞNG VỤ CHÍNH SÁCH</w:t>
            </w:r>
            <w:r w:rsidRPr="00B91C1F">
              <w:rPr>
                <w:b/>
                <w:bCs/>
                <w:sz w:val="20"/>
                <w:szCs w:val="20"/>
              </w:rPr>
              <w:br/>
              <w:t>PHÓ VỤ TRƯỞNG</w:t>
            </w:r>
            <w:r w:rsidRPr="00B91C1F">
              <w:rPr>
                <w:b/>
                <w:bCs/>
                <w:sz w:val="20"/>
                <w:szCs w:val="20"/>
              </w:rPr>
              <w:br/>
            </w:r>
            <w:r w:rsidRPr="00B91C1F">
              <w:rPr>
                <w:b/>
                <w:bCs/>
                <w:sz w:val="20"/>
                <w:szCs w:val="20"/>
              </w:rPr>
              <w:br/>
            </w:r>
            <w:r w:rsidRPr="00B91C1F">
              <w:rPr>
                <w:b/>
                <w:bCs/>
                <w:sz w:val="20"/>
                <w:szCs w:val="20"/>
              </w:rPr>
              <w:br/>
            </w:r>
            <w:r w:rsidRPr="00B91C1F">
              <w:rPr>
                <w:b/>
                <w:bCs/>
                <w:sz w:val="20"/>
                <w:szCs w:val="20"/>
              </w:rPr>
              <w:br/>
            </w:r>
            <w:r w:rsidRPr="00B91C1F">
              <w:rPr>
                <w:b/>
                <w:bCs/>
                <w:sz w:val="20"/>
                <w:szCs w:val="20"/>
              </w:rPr>
              <w:br/>
              <w:t>Nguyễn Hữu Tân</w:t>
            </w:r>
          </w:p>
        </w:tc>
      </w:tr>
    </w:tbl>
    <w:p w:rsidR="00AC0275" w:rsidRDefault="00AC0275">
      <w:pPr>
        <w:pStyle w:val="NormalWeb"/>
        <w:spacing w:before="120" w:beforeAutospacing="0"/>
        <w:divId w:val="1091242698"/>
      </w:pPr>
      <w:r>
        <w:rPr>
          <w:sz w:val="20"/>
          <w:szCs w:val="20"/>
        </w:rPr>
        <w:t> </w:t>
      </w:r>
    </w:p>
    <w:sectPr w:rsidR="00AC02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compat/>
  <w:rsids>
    <w:rsidRoot w:val="00813898"/>
    <w:rsid w:val="00813898"/>
    <w:rsid w:val="00AC0275"/>
    <w:rsid w:val="00B91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91242698">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iHoang146ThaiHa\Local%20Settings\Temporary%20Internet%20Files\Content.Outlook\F64U87RQ\CV-4033-TCT-13-1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CV-4033-TCT-13-11-2012</Template>
  <TotalTime>3</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2012-11-26T02:53:00Z</dcterms:created>
  <dcterms:modified xsi:type="dcterms:W3CDTF">2012-11-26T02:56:00Z</dcterms:modified>
</cp:coreProperties>
</file>