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631"/>
      </w:tblGrid>
      <w:tr w:rsidR="00910144">
        <w:trPr>
          <w:divId w:val="1570309878"/>
        </w:trPr>
        <w:tc>
          <w:tcPr>
            <w:tcW w:w="3348" w:type="dxa"/>
            <w:tcMar>
              <w:top w:w="0" w:type="dxa"/>
              <w:left w:w="108" w:type="dxa"/>
              <w:bottom w:w="0" w:type="dxa"/>
              <w:right w:w="108" w:type="dxa"/>
            </w:tcMar>
            <w:hideMark/>
          </w:tcPr>
          <w:p w:rsidR="00910144" w:rsidRDefault="00910144">
            <w:pPr>
              <w:pStyle w:val="NormalWeb"/>
              <w:spacing w:before="120" w:beforeAutospacing="0"/>
              <w:jc w:val="center"/>
            </w:pPr>
            <w:r w:rsidRPr="00C92814">
              <w:t>BỘ TÀI CHÍNH</w:t>
            </w:r>
            <w:r w:rsidRPr="00C92814">
              <w:br/>
            </w:r>
            <w:r w:rsidRPr="00C92814">
              <w:rPr>
                <w:b/>
                <w:bCs/>
              </w:rPr>
              <w:t>TỔNG CỤC THUẾ</w:t>
            </w:r>
            <w:r w:rsidRPr="00C92814">
              <w:rPr>
                <w:b/>
                <w:bCs/>
              </w:rPr>
              <w:br/>
              <w:t>--------</w:t>
            </w:r>
          </w:p>
        </w:tc>
        <w:tc>
          <w:tcPr>
            <w:tcW w:w="5631" w:type="dxa"/>
            <w:tcMar>
              <w:top w:w="0" w:type="dxa"/>
              <w:left w:w="108" w:type="dxa"/>
              <w:bottom w:w="0" w:type="dxa"/>
              <w:right w:w="108" w:type="dxa"/>
            </w:tcMar>
            <w:hideMark/>
          </w:tcPr>
          <w:p w:rsidR="00910144" w:rsidRDefault="00910144">
            <w:pPr>
              <w:pStyle w:val="NormalWeb"/>
              <w:spacing w:before="120" w:beforeAutospacing="0"/>
              <w:jc w:val="center"/>
            </w:pPr>
            <w:r w:rsidRPr="00C92814">
              <w:rPr>
                <w:b/>
                <w:bCs/>
              </w:rPr>
              <w:t>CỘNG HÒA XÃ HỘI CHỦ NGHĨA VIỆT NAM</w:t>
            </w:r>
            <w:r w:rsidRPr="00C92814">
              <w:rPr>
                <w:b/>
                <w:bCs/>
              </w:rPr>
              <w:br/>
              <w:t>Độc lập - Tự do - Hạnh phúc</w:t>
            </w:r>
            <w:r w:rsidRPr="00C92814">
              <w:rPr>
                <w:b/>
                <w:bCs/>
              </w:rPr>
              <w:br/>
              <w:t>----------------</w:t>
            </w:r>
          </w:p>
        </w:tc>
      </w:tr>
      <w:tr w:rsidR="00910144">
        <w:trPr>
          <w:divId w:val="1570309878"/>
        </w:trPr>
        <w:tc>
          <w:tcPr>
            <w:tcW w:w="3348" w:type="dxa"/>
            <w:tcMar>
              <w:top w:w="0" w:type="dxa"/>
              <w:left w:w="108" w:type="dxa"/>
              <w:bottom w:w="0" w:type="dxa"/>
              <w:right w:w="108" w:type="dxa"/>
            </w:tcMar>
            <w:hideMark/>
          </w:tcPr>
          <w:p w:rsidR="00910144" w:rsidRDefault="00910144">
            <w:pPr>
              <w:pStyle w:val="NormalWeb"/>
              <w:spacing w:before="120" w:beforeAutospacing="0"/>
            </w:pPr>
            <w:r w:rsidRPr="00C92814">
              <w:t>Số: 4133/TCT-CS</w:t>
            </w:r>
            <w:r w:rsidRPr="00C92814">
              <w:br/>
            </w:r>
            <w:r w:rsidRPr="00C92814">
              <w:rPr>
                <w:i/>
                <w:iCs/>
                <w:sz w:val="16"/>
                <w:szCs w:val="16"/>
              </w:rPr>
              <w:t>V/v thuế GTGT.</w:t>
            </w:r>
          </w:p>
        </w:tc>
        <w:tc>
          <w:tcPr>
            <w:tcW w:w="5631" w:type="dxa"/>
            <w:tcMar>
              <w:top w:w="0" w:type="dxa"/>
              <w:left w:w="108" w:type="dxa"/>
              <w:bottom w:w="0" w:type="dxa"/>
              <w:right w:w="108" w:type="dxa"/>
            </w:tcMar>
            <w:hideMark/>
          </w:tcPr>
          <w:p w:rsidR="00910144" w:rsidRDefault="00910144">
            <w:pPr>
              <w:pStyle w:val="NormalWeb"/>
              <w:spacing w:before="120" w:beforeAutospacing="0"/>
              <w:jc w:val="right"/>
            </w:pPr>
            <w:r w:rsidRPr="00C92814">
              <w:rPr>
                <w:i/>
                <w:iCs/>
              </w:rPr>
              <w:t>Hà Nội, ngày 20 tháng 11 năm 2012</w:t>
            </w:r>
          </w:p>
        </w:tc>
      </w:tr>
    </w:tbl>
    <w:p w:rsidR="00910144" w:rsidRDefault="00910144">
      <w:pPr>
        <w:pStyle w:val="NormalWeb"/>
        <w:spacing w:before="120" w:beforeAutospacing="0"/>
        <w:divId w:val="1570309878"/>
      </w:pPr>
      <w:r>
        <w:t> </w:t>
      </w:r>
    </w:p>
    <w:p w:rsidR="00910144" w:rsidRDefault="00910144">
      <w:pPr>
        <w:pStyle w:val="NormalWeb"/>
        <w:spacing w:before="120" w:beforeAutospacing="0"/>
        <w:jc w:val="center"/>
        <w:divId w:val="1570309878"/>
      </w:pPr>
      <w:r>
        <w:rPr>
          <w:b/>
          <w:bCs/>
        </w:rPr>
        <w:t>Kính gửi:</w:t>
      </w:r>
      <w:r>
        <w:t xml:space="preserve"> Cục thuế tỉnh Hòa Bình.</w:t>
      </w:r>
    </w:p>
    <w:p w:rsidR="00910144" w:rsidRDefault="00910144">
      <w:pPr>
        <w:pStyle w:val="NormalWeb"/>
        <w:spacing w:before="120" w:beforeAutospacing="0"/>
        <w:divId w:val="1570309878"/>
      </w:pPr>
      <w:r>
        <w:t>Trả lời công văn số 496/CT-TTr ngày 18/04/2012 của Cục thuế tỉnh Hòa Bình về việc kê khai thuế GTGT đối với hoạt động đại lý bán Sim và thẻ cào điện thoại di động, Tổng cục Thuế có ý kiến như sau:</w:t>
      </w:r>
    </w:p>
    <w:p w:rsidR="00910144" w:rsidRDefault="00910144">
      <w:pPr>
        <w:pStyle w:val="NormalWeb"/>
        <w:spacing w:before="120" w:beforeAutospacing="0"/>
        <w:divId w:val="1570309878"/>
      </w:pPr>
      <w:r>
        <w:t>Tại Điểm 8.1 Mục II Phần B Thông tư số 60/2007/TT-BTC ngày 14/6/2007 của Bộ Tài chính hướng dẫn thi hành một số điều của Luật Quản lý thuế và hướng dẫn thi hành Nghị định số 85/2007/NĐ-CP ngày 25/5/2007 của Chính phủ quy định chi tiết thi hành một số điều của Luật Quản lý thuế quy định: "Người nộp thuế là đại lý bán vé của dịch vụ bưu điện, xổ số, máy bay, ô tô, tàu hỏa, tàu thủy hoặc bán bảo hiểm theo đúng giá quy định của bên giao đại lý hưởng hoa hồng thì không phải khai thuế giá trị gia tăng đối với doanh thu hàng hóa, dịch vụ nhận bán đại lý và doanh thu hoa hồng đại lý được hưởng.”</w:t>
      </w:r>
    </w:p>
    <w:p w:rsidR="00910144" w:rsidRDefault="00910144">
      <w:pPr>
        <w:pStyle w:val="NormalWeb"/>
        <w:spacing w:before="120" w:beforeAutospacing="0"/>
        <w:divId w:val="1570309878"/>
      </w:pPr>
      <w:r>
        <w:t>Ngày 24/7/2009, Bộ Tài chính đã có công văn số 10587/BTC-TCT hướng dẫn thuế đối với hoa hồng đại lý dịch vụ bưu điện, xổ số, máy bay, ô tô, tàu hỏa, tàu thủy hoặc bán bảo hiểm, như sau:</w:t>
      </w:r>
    </w:p>
    <w:p w:rsidR="00910144" w:rsidRDefault="00910144">
      <w:pPr>
        <w:pStyle w:val="NormalWeb"/>
        <w:spacing w:before="120" w:beforeAutospacing="0"/>
        <w:divId w:val="1570309878"/>
      </w:pPr>
      <w:r>
        <w:t>“Người nộp thuế là đại lý bán vé của dịch vụ bưu điện, xổ số, máy bay, ô tô, tàu hỏa, tàu thủy hoặc bán bảo hiểm theo đúng giá quy định của bên giao đại lý hưởng hoa hồng thì không phải kê khai doanh thu dịch vụ nhận bán đại lý và không phải khai thuế giá trị gia tăng đối với khoản hoa hồng đại lý được hưởng.</w:t>
      </w:r>
    </w:p>
    <w:p w:rsidR="00910144" w:rsidRDefault="00910144">
      <w:pPr>
        <w:pStyle w:val="NormalWeb"/>
        <w:spacing w:before="120" w:beforeAutospacing="0"/>
        <w:divId w:val="1570309878"/>
      </w:pPr>
      <w:r>
        <w:t>…".</w:t>
      </w:r>
    </w:p>
    <w:p w:rsidR="00910144" w:rsidRDefault="00910144">
      <w:pPr>
        <w:pStyle w:val="NormalWeb"/>
        <w:spacing w:before="120" w:beforeAutospacing="0"/>
        <w:divId w:val="1570309878"/>
      </w:pPr>
      <w:r>
        <w:t>Tại Khoản 8 Điều 10 Thông tư số 28/2011/TT-BTC ngày 28/2/2011 của Bộ Tài chính hướng dẫn: “Người nộp thuế là đại lý bán đúng giá quy định của bên giao đại lý hưởng hoa hồng của dịch vụ: bưu chính, viễn thông, bán vé xổ số, vé máy bay, ô tô, tàu hỏa, tàu thủy; đại lý vận tải quốc tế; đại lý của các dịch vụ ngành hàng không, hàng hải mà được áp dụng thuế suất thuế GTGT 0%; đại lý bán bảo hiểm thì không phải khai thuế giá trị gia tăng đối với doanh thu hàng hóa, dịch vụ nhận bán đại lý và doanh thu hoa hồng được hưởng”.</w:t>
      </w:r>
    </w:p>
    <w:p w:rsidR="00910144" w:rsidRDefault="00910144">
      <w:pPr>
        <w:pStyle w:val="NormalWeb"/>
        <w:spacing w:before="120" w:beforeAutospacing="0"/>
        <w:divId w:val="1570309878"/>
      </w:pPr>
      <w:r>
        <w:t>Tại khoản 6.đ Điều 5 Thông tư số 06/2012/TT-BTC ngày 11/01/2012 của Bộ Tài chính hướng dẫn các trường hợp không phải kê khai, tính nộp thuế GTGT:</w:t>
      </w:r>
    </w:p>
    <w:p w:rsidR="00910144" w:rsidRDefault="00910144">
      <w:pPr>
        <w:pStyle w:val="NormalWeb"/>
        <w:spacing w:before="120" w:beforeAutospacing="0"/>
        <w:divId w:val="1570309878"/>
      </w:pPr>
      <w:r>
        <w:t xml:space="preserve">“Doanh thu hàng hóa, dịch vụ nhận bán đại lý và doanh thu hoa hồng được hưởng từ hoạt động đại lý bán đúng giá quy định của bên giao đại lý hưởng hoa hồng của dịch vụ: bưu chính, viễn thông, bán vé xổ số, vé máy bay, ô tô, tàu hỏa, tàu thủy; đại lý vận tải quốc tế; đại lý của các dịch </w:t>
      </w:r>
      <w:r>
        <w:lastRenderedPageBreak/>
        <w:t>vụ ngành hàng không, hàng hải mà được áp dụng thuế suất thuế GTGT 0%; đại lý bán bảo hiểm”.</w:t>
      </w:r>
    </w:p>
    <w:p w:rsidR="00910144" w:rsidRDefault="00910144">
      <w:pPr>
        <w:pStyle w:val="NormalWeb"/>
        <w:spacing w:before="120" w:beforeAutospacing="0"/>
        <w:divId w:val="1570309878"/>
      </w:pPr>
      <w:r>
        <w:t>Căn cứ hướng dẫn trên và theo trình bày của Cục thuế tỉnh Hòa Bình, Công ty TNHH một thành viên Thủy Hương là đại lý bán Sim và Thẻ cào điện thoại di động cho Tập đoàn viễn thông quân đội (Viettel). Trong hợp đồng đại lý quy định khi nhận hàng từ Viettel, Công ty được hưởng một khoản tiền chiết khấu là 6,5% trên tổng giá trị trước thuế GTGT tính theo từng lô hàng (số tiền này được giảm trừ trực tiếp trên hóa đơn GTGT trước khi tính thuế), đây không phải là đại lý bán đúng giá hưởng hoa hồng thì Công ty TNHH một thành viên Thủy Hương phải hạch toán doanh thu, giá vốn và kê khai nộp thuế GTGT của hoạt động bán Sim và Thẻ theo quy định.</w:t>
      </w:r>
    </w:p>
    <w:p w:rsidR="00910144" w:rsidRDefault="00910144">
      <w:pPr>
        <w:pStyle w:val="NormalWeb"/>
        <w:spacing w:before="120" w:beforeAutospacing="0"/>
        <w:divId w:val="1570309878"/>
      </w:pPr>
      <w:r>
        <w:t>Tổng cục Thuế trả lời để Cục thuế tỉnh Hòa Bình được biết./.</w:t>
      </w:r>
    </w:p>
    <w:p w:rsidR="00910144" w:rsidRDefault="00910144">
      <w:pPr>
        <w:pStyle w:val="NormalWeb"/>
        <w:spacing w:before="120" w:beforeAutospacing="0"/>
        <w:divId w:val="1570309878"/>
      </w:pPr>
      <w:r>
        <w:t> </w:t>
      </w:r>
    </w:p>
    <w:tbl>
      <w:tblPr>
        <w:tblW w:w="0" w:type="auto"/>
        <w:tblCellMar>
          <w:left w:w="0" w:type="dxa"/>
          <w:right w:w="0" w:type="dxa"/>
        </w:tblCellMar>
        <w:tblLook w:val="04A0"/>
      </w:tblPr>
      <w:tblGrid>
        <w:gridCol w:w="4428"/>
        <w:gridCol w:w="4500"/>
      </w:tblGrid>
      <w:tr w:rsidR="00910144">
        <w:trPr>
          <w:divId w:val="1570309878"/>
        </w:trPr>
        <w:tc>
          <w:tcPr>
            <w:tcW w:w="4428" w:type="dxa"/>
            <w:tcMar>
              <w:top w:w="0" w:type="dxa"/>
              <w:left w:w="108" w:type="dxa"/>
              <w:bottom w:w="0" w:type="dxa"/>
              <w:right w:w="108" w:type="dxa"/>
            </w:tcMar>
            <w:hideMark/>
          </w:tcPr>
          <w:p w:rsidR="00910144" w:rsidRDefault="00910144">
            <w:pPr>
              <w:pStyle w:val="NormalWeb"/>
              <w:spacing w:before="120" w:beforeAutospacing="0"/>
            </w:pPr>
            <w:r w:rsidRPr="00C92814">
              <w:rPr>
                <w:b/>
                <w:bCs/>
                <w:i/>
                <w:iCs/>
              </w:rPr>
              <w:t> </w:t>
            </w:r>
          </w:p>
          <w:p w:rsidR="00910144" w:rsidRDefault="00910144">
            <w:pPr>
              <w:pStyle w:val="NormalWeb"/>
              <w:spacing w:before="120" w:beforeAutospacing="0"/>
            </w:pPr>
            <w:r w:rsidRPr="00C92814">
              <w:rPr>
                <w:b/>
                <w:bCs/>
                <w:i/>
                <w:iCs/>
              </w:rPr>
              <w:t>Nơi nhận:</w:t>
            </w:r>
            <w:r w:rsidRPr="00C92814">
              <w:rPr>
                <w:b/>
                <w:bCs/>
                <w:i/>
                <w:iCs/>
              </w:rPr>
              <w:br/>
            </w:r>
            <w:r w:rsidRPr="00C92814">
              <w:rPr>
                <w:sz w:val="16"/>
                <w:szCs w:val="16"/>
              </w:rPr>
              <w:t>- Như trên;</w:t>
            </w:r>
            <w:r w:rsidRPr="00C92814">
              <w:rPr>
                <w:sz w:val="16"/>
                <w:szCs w:val="16"/>
              </w:rPr>
              <w:br/>
              <w:t>- Vụ PC - BTC;</w:t>
            </w:r>
            <w:r w:rsidRPr="00C92814">
              <w:rPr>
                <w:sz w:val="16"/>
                <w:szCs w:val="16"/>
              </w:rPr>
              <w:br/>
              <w:t>- Vụ PC- TCT;</w:t>
            </w:r>
            <w:r w:rsidRPr="00C92814">
              <w:rPr>
                <w:sz w:val="16"/>
                <w:szCs w:val="16"/>
              </w:rPr>
              <w:br/>
              <w:t>- Vụ KK -TCT;</w:t>
            </w:r>
            <w:r w:rsidRPr="00C92814">
              <w:rPr>
                <w:sz w:val="16"/>
                <w:szCs w:val="16"/>
              </w:rPr>
              <w:br/>
              <w:t>- Lưu: VT, CS (2b).</w:t>
            </w:r>
          </w:p>
        </w:tc>
        <w:tc>
          <w:tcPr>
            <w:tcW w:w="4500" w:type="dxa"/>
            <w:tcMar>
              <w:top w:w="0" w:type="dxa"/>
              <w:left w:w="108" w:type="dxa"/>
              <w:bottom w:w="0" w:type="dxa"/>
              <w:right w:w="108" w:type="dxa"/>
            </w:tcMar>
            <w:hideMark/>
          </w:tcPr>
          <w:p w:rsidR="00910144" w:rsidRDefault="00910144">
            <w:pPr>
              <w:pStyle w:val="NormalWeb"/>
              <w:spacing w:before="120" w:beforeAutospacing="0"/>
              <w:jc w:val="center"/>
            </w:pPr>
            <w:r w:rsidRPr="00C92814">
              <w:rPr>
                <w:b/>
                <w:bCs/>
              </w:rPr>
              <w:t>KT. TỔNG CỤC TRƯỞNG</w:t>
            </w:r>
            <w:r w:rsidRPr="00C92814">
              <w:rPr>
                <w:b/>
                <w:bCs/>
              </w:rPr>
              <w:br/>
              <w:t>PHÓ TỔNG CỤC TRƯỞNG</w:t>
            </w:r>
            <w:r w:rsidRPr="00C92814">
              <w:rPr>
                <w:b/>
                <w:bCs/>
              </w:rPr>
              <w:br/>
            </w:r>
            <w:r w:rsidRPr="00C92814">
              <w:rPr>
                <w:b/>
                <w:bCs/>
              </w:rPr>
              <w:br/>
            </w:r>
            <w:r w:rsidRPr="00C92814">
              <w:rPr>
                <w:b/>
                <w:bCs/>
              </w:rPr>
              <w:br/>
            </w:r>
            <w:r w:rsidRPr="00C92814">
              <w:rPr>
                <w:b/>
                <w:bCs/>
              </w:rPr>
              <w:br/>
            </w:r>
            <w:r w:rsidRPr="00C92814">
              <w:rPr>
                <w:b/>
                <w:bCs/>
              </w:rPr>
              <w:br/>
              <w:t>Cao Anh Tuấn</w:t>
            </w:r>
          </w:p>
        </w:tc>
      </w:tr>
    </w:tbl>
    <w:p w:rsidR="00910144" w:rsidRDefault="00910144">
      <w:pPr>
        <w:pStyle w:val="NormalWeb"/>
        <w:spacing w:before="120" w:beforeAutospacing="0"/>
        <w:divId w:val="1570309878"/>
      </w:pPr>
      <w:r>
        <w:t> </w:t>
      </w:r>
    </w:p>
    <w:sectPr w:rsidR="00910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compat/>
  <w:rsids>
    <w:rsidRoot w:val="00D135E9"/>
    <w:rsid w:val="00910144"/>
    <w:rsid w:val="00C92814"/>
    <w:rsid w:val="00D135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70309878">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lcome\My%20Documents\CV-4133-TCT-20-11-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CV-4133-TCT-20-11-2012</Template>
  <TotalTime>0</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MaiHoang</dc:creator>
  <cp:keywords/>
  <dc:description/>
  <cp:lastModifiedBy>MaiHoang</cp:lastModifiedBy>
  <cp:revision>1</cp:revision>
  <dcterms:created xsi:type="dcterms:W3CDTF">2012-12-07T02:28:00Z</dcterms:created>
  <dcterms:modified xsi:type="dcterms:W3CDTF">2012-12-07T02:28:00Z</dcterms:modified>
</cp:coreProperties>
</file>