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446986" w:rsidTr="00E20E87">
        <w:tc>
          <w:tcPr>
            <w:tcW w:w="3348" w:type="dxa"/>
            <w:tcMar>
              <w:top w:w="0" w:type="dxa"/>
              <w:left w:w="108" w:type="dxa"/>
              <w:bottom w:w="0" w:type="dxa"/>
              <w:right w:w="108" w:type="dxa"/>
            </w:tcMar>
            <w:hideMark/>
          </w:tcPr>
          <w:p w:rsidR="00446986" w:rsidRDefault="00446986" w:rsidP="00E20E87">
            <w:pPr>
              <w:pStyle w:val="NormalWeb"/>
              <w:spacing w:before="120" w:beforeAutospacing="0"/>
              <w:jc w:val="center"/>
            </w:pPr>
            <w:r w:rsidRPr="00AE413D">
              <w:rPr>
                <w:sz w:val="20"/>
                <w:szCs w:val="20"/>
              </w:rPr>
              <w:t>BỘ TÀI CHÍNH</w:t>
            </w:r>
            <w:r w:rsidRPr="00AE413D">
              <w:rPr>
                <w:b/>
                <w:bCs/>
                <w:sz w:val="20"/>
                <w:szCs w:val="20"/>
              </w:rPr>
              <w:br/>
              <w:t>TỔNG CỤC THUẾ</w:t>
            </w:r>
            <w:r w:rsidRPr="00AE413D">
              <w:rPr>
                <w:b/>
                <w:bCs/>
                <w:sz w:val="20"/>
                <w:szCs w:val="20"/>
              </w:rPr>
              <w:br/>
              <w:t>--------</w:t>
            </w:r>
          </w:p>
        </w:tc>
        <w:tc>
          <w:tcPr>
            <w:tcW w:w="5631" w:type="dxa"/>
            <w:tcMar>
              <w:top w:w="0" w:type="dxa"/>
              <w:left w:w="108" w:type="dxa"/>
              <w:bottom w:w="0" w:type="dxa"/>
              <w:right w:w="108" w:type="dxa"/>
            </w:tcMar>
            <w:hideMark/>
          </w:tcPr>
          <w:p w:rsidR="00446986" w:rsidRDefault="00446986" w:rsidP="00E20E87">
            <w:pPr>
              <w:pStyle w:val="NormalWeb"/>
              <w:spacing w:before="120" w:beforeAutospacing="0"/>
              <w:jc w:val="center"/>
            </w:pPr>
            <w:r w:rsidRPr="00AE413D">
              <w:rPr>
                <w:b/>
                <w:bCs/>
                <w:sz w:val="20"/>
                <w:szCs w:val="20"/>
              </w:rPr>
              <w:t>CỘNG HÒA XÃ HỘI CHỦ NGHĨA VIỆT NAM</w:t>
            </w:r>
            <w:r w:rsidRPr="00AE413D">
              <w:rPr>
                <w:b/>
                <w:bCs/>
                <w:sz w:val="20"/>
                <w:szCs w:val="20"/>
              </w:rPr>
              <w:br/>
              <w:t>Độc lập - Tự do - Hạnh phúc</w:t>
            </w:r>
            <w:r w:rsidRPr="00AE413D">
              <w:rPr>
                <w:b/>
                <w:bCs/>
                <w:sz w:val="20"/>
                <w:szCs w:val="20"/>
              </w:rPr>
              <w:br/>
              <w:t>----------------</w:t>
            </w:r>
          </w:p>
        </w:tc>
      </w:tr>
      <w:tr w:rsidR="00446986" w:rsidRPr="00066490" w:rsidTr="00E20E87">
        <w:tc>
          <w:tcPr>
            <w:tcW w:w="3348" w:type="dxa"/>
            <w:tcMar>
              <w:top w:w="0" w:type="dxa"/>
              <w:left w:w="108" w:type="dxa"/>
              <w:bottom w:w="0" w:type="dxa"/>
              <w:right w:w="108" w:type="dxa"/>
            </w:tcMar>
            <w:hideMark/>
          </w:tcPr>
          <w:p w:rsidR="00446986" w:rsidRPr="00066490" w:rsidRDefault="00446986" w:rsidP="00E20E87">
            <w:pPr>
              <w:pStyle w:val="NormalWeb"/>
              <w:spacing w:before="120" w:beforeAutospacing="0"/>
              <w:rPr>
                <w:sz w:val="22"/>
                <w:szCs w:val="22"/>
              </w:rPr>
            </w:pPr>
            <w:r w:rsidRPr="00066490">
              <w:rPr>
                <w:sz w:val="22"/>
                <w:szCs w:val="22"/>
              </w:rPr>
              <w:t>Số: 4173/TCT-KK</w:t>
            </w:r>
            <w:r w:rsidRPr="00066490">
              <w:rPr>
                <w:sz w:val="22"/>
                <w:szCs w:val="22"/>
              </w:rPr>
              <w:br/>
            </w:r>
            <w:r w:rsidRPr="00066490">
              <w:rPr>
                <w:i/>
                <w:iCs/>
                <w:sz w:val="22"/>
                <w:szCs w:val="22"/>
              </w:rPr>
              <w:t>V/v hoàn thuế giá trị gia tăng</w:t>
            </w:r>
          </w:p>
        </w:tc>
        <w:tc>
          <w:tcPr>
            <w:tcW w:w="5631" w:type="dxa"/>
            <w:tcMar>
              <w:top w:w="0" w:type="dxa"/>
              <w:left w:w="108" w:type="dxa"/>
              <w:bottom w:w="0" w:type="dxa"/>
              <w:right w:w="108" w:type="dxa"/>
            </w:tcMar>
            <w:hideMark/>
          </w:tcPr>
          <w:p w:rsidR="00446986" w:rsidRPr="00066490" w:rsidRDefault="00446986" w:rsidP="00E20E87">
            <w:pPr>
              <w:pStyle w:val="NormalWeb"/>
              <w:spacing w:before="120" w:beforeAutospacing="0"/>
              <w:jc w:val="right"/>
              <w:rPr>
                <w:sz w:val="22"/>
                <w:szCs w:val="22"/>
              </w:rPr>
            </w:pPr>
            <w:r w:rsidRPr="00066490">
              <w:rPr>
                <w:i/>
                <w:iCs/>
                <w:sz w:val="22"/>
                <w:szCs w:val="22"/>
              </w:rPr>
              <w:t>Hà Nội, ngày 23 tháng 11 năm 2012</w:t>
            </w:r>
          </w:p>
        </w:tc>
      </w:tr>
    </w:tbl>
    <w:p w:rsidR="00446986" w:rsidRPr="00066490" w:rsidRDefault="00446986" w:rsidP="00446986">
      <w:pPr>
        <w:pStyle w:val="NormalWeb"/>
        <w:spacing w:before="120" w:beforeAutospacing="0"/>
        <w:rPr>
          <w:sz w:val="22"/>
          <w:szCs w:val="22"/>
        </w:rPr>
      </w:pPr>
      <w:r w:rsidRPr="00066490">
        <w:rPr>
          <w:sz w:val="22"/>
          <w:szCs w:val="22"/>
        </w:rPr>
        <w:t> </w:t>
      </w:r>
    </w:p>
    <w:tbl>
      <w:tblPr>
        <w:tblW w:w="0" w:type="auto"/>
        <w:tblCellMar>
          <w:left w:w="0" w:type="dxa"/>
          <w:right w:w="0" w:type="dxa"/>
        </w:tblCellMar>
        <w:tblLook w:val="04A0"/>
      </w:tblPr>
      <w:tblGrid>
        <w:gridCol w:w="2808"/>
        <w:gridCol w:w="6120"/>
      </w:tblGrid>
      <w:tr w:rsidR="00446986" w:rsidRPr="00066490" w:rsidTr="00E20E87">
        <w:tc>
          <w:tcPr>
            <w:tcW w:w="2808" w:type="dxa"/>
            <w:tcMar>
              <w:top w:w="0" w:type="dxa"/>
              <w:left w:w="108" w:type="dxa"/>
              <w:bottom w:w="0" w:type="dxa"/>
              <w:right w:w="108" w:type="dxa"/>
            </w:tcMar>
            <w:hideMark/>
          </w:tcPr>
          <w:p w:rsidR="00446986" w:rsidRPr="00066490" w:rsidRDefault="00446986" w:rsidP="00E20E87">
            <w:pPr>
              <w:pStyle w:val="NormalWeb"/>
              <w:spacing w:before="120" w:beforeAutospacing="0"/>
              <w:jc w:val="right"/>
              <w:rPr>
                <w:sz w:val="22"/>
                <w:szCs w:val="22"/>
              </w:rPr>
            </w:pPr>
            <w:r w:rsidRPr="00066490">
              <w:rPr>
                <w:b/>
                <w:bCs/>
                <w:sz w:val="22"/>
                <w:szCs w:val="22"/>
              </w:rPr>
              <w:t>Kính gửi:</w:t>
            </w:r>
          </w:p>
        </w:tc>
        <w:tc>
          <w:tcPr>
            <w:tcW w:w="6120" w:type="dxa"/>
            <w:tcMar>
              <w:top w:w="0" w:type="dxa"/>
              <w:left w:w="108" w:type="dxa"/>
              <w:bottom w:w="0" w:type="dxa"/>
              <w:right w:w="108" w:type="dxa"/>
            </w:tcMar>
            <w:hideMark/>
          </w:tcPr>
          <w:p w:rsidR="00446986" w:rsidRPr="00066490" w:rsidRDefault="00446986" w:rsidP="00E20E87">
            <w:pPr>
              <w:pStyle w:val="NormalWeb"/>
              <w:spacing w:before="120" w:beforeAutospacing="0"/>
              <w:rPr>
                <w:sz w:val="22"/>
                <w:szCs w:val="22"/>
              </w:rPr>
            </w:pPr>
            <w:r w:rsidRPr="00066490">
              <w:rPr>
                <w:sz w:val="22"/>
                <w:szCs w:val="22"/>
              </w:rPr>
              <w:t>- Chi nhánh Công ty TNHH Hanoi Steel center;</w:t>
            </w:r>
            <w:r w:rsidRPr="00066490">
              <w:rPr>
                <w:sz w:val="22"/>
                <w:szCs w:val="22"/>
              </w:rPr>
              <w:br/>
              <w:t>- Cục Thuế thành phố Đà Nẵng.</w:t>
            </w:r>
          </w:p>
        </w:tc>
      </w:tr>
    </w:tbl>
    <w:p w:rsidR="00446986" w:rsidRPr="00066490" w:rsidRDefault="00446986" w:rsidP="00446986">
      <w:pPr>
        <w:pStyle w:val="NormalWeb"/>
        <w:spacing w:before="120" w:beforeAutospacing="0"/>
        <w:rPr>
          <w:sz w:val="22"/>
          <w:szCs w:val="22"/>
        </w:rPr>
      </w:pPr>
      <w:r w:rsidRPr="00066490">
        <w:rPr>
          <w:sz w:val="22"/>
          <w:szCs w:val="22"/>
        </w:rPr>
        <w:t> </w:t>
      </w:r>
    </w:p>
    <w:p w:rsidR="00446986" w:rsidRPr="00066490" w:rsidRDefault="00446986" w:rsidP="00446986">
      <w:pPr>
        <w:pStyle w:val="NormalWeb"/>
        <w:spacing w:before="120" w:beforeAutospacing="0"/>
        <w:rPr>
          <w:sz w:val="22"/>
          <w:szCs w:val="22"/>
        </w:rPr>
      </w:pPr>
      <w:r w:rsidRPr="00066490">
        <w:rPr>
          <w:sz w:val="22"/>
          <w:szCs w:val="22"/>
        </w:rPr>
        <w:t>Trả lời công văn số 1213/CV.HSC-DB ngày 28/7/2012 của Chi nhánh Công ty TNHH Hanoi Steel center tại thành phố Đà Nẵng về việc hoàn thuế giá trị gia tăng (GTGT), sau khi báo cáo và được sự đồng ý của Bộ Tài chính, Tổng cục Thuế có ý kiến như sau:</w:t>
      </w:r>
    </w:p>
    <w:p w:rsidR="00446986" w:rsidRPr="00066490" w:rsidRDefault="00446986" w:rsidP="00446986">
      <w:pPr>
        <w:pStyle w:val="NormalWeb"/>
        <w:spacing w:before="120" w:beforeAutospacing="0"/>
        <w:rPr>
          <w:sz w:val="22"/>
          <w:szCs w:val="22"/>
        </w:rPr>
      </w:pPr>
      <w:r w:rsidRPr="00066490">
        <w:rPr>
          <w:sz w:val="22"/>
          <w:szCs w:val="22"/>
        </w:rPr>
        <w:t>Căn cứ Điều 15 Nghị định số 89/2002/NĐ-CP ngày 7/11/2002 của Chính phủ về việc in, phát hành, sử dụng, quản lý hóa đơn;</w:t>
      </w:r>
    </w:p>
    <w:p w:rsidR="00446986" w:rsidRPr="00066490" w:rsidRDefault="00446986" w:rsidP="00446986">
      <w:pPr>
        <w:pStyle w:val="NormalWeb"/>
        <w:spacing w:before="120" w:beforeAutospacing="0"/>
        <w:rPr>
          <w:sz w:val="22"/>
          <w:szCs w:val="22"/>
        </w:rPr>
      </w:pPr>
      <w:r w:rsidRPr="00066490">
        <w:rPr>
          <w:sz w:val="22"/>
          <w:szCs w:val="22"/>
        </w:rPr>
        <w:t>Căn cứ điểm 3 Mục II Phần A, điểm 1(1.5, 1.7) Mục VI Phần B Thông tư số 120/2002/TT-BTC ngày 30/12/2002 của Bộ Tài chính hướng dẫn thi hành Nghị định số 89/2002/NĐ-CP ngày 7/11/2002 của Chính phủ về việc in, phát hành, sử dụng, quản lý hóa đơn;</w:t>
      </w:r>
    </w:p>
    <w:p w:rsidR="00446986" w:rsidRPr="00066490" w:rsidRDefault="00446986" w:rsidP="00446986">
      <w:pPr>
        <w:pStyle w:val="NormalWeb"/>
        <w:spacing w:before="120" w:beforeAutospacing="0"/>
        <w:rPr>
          <w:sz w:val="22"/>
          <w:szCs w:val="22"/>
        </w:rPr>
      </w:pPr>
      <w:r w:rsidRPr="00066490">
        <w:rPr>
          <w:sz w:val="22"/>
          <w:szCs w:val="22"/>
        </w:rPr>
        <w:t>Căn cứ điểm 1 Mục I Phần I Thông tư số 85/2007/TT-BTC ngày 18/7/2007 của Bộ Tài chính hướng dẫn thi hành Luật Quản lý thuế về việc đăng ký thuế:</w:t>
      </w:r>
    </w:p>
    <w:p w:rsidR="00446986" w:rsidRPr="00066490" w:rsidRDefault="00446986" w:rsidP="00446986">
      <w:pPr>
        <w:pStyle w:val="NormalWeb"/>
        <w:spacing w:before="120" w:beforeAutospacing="0"/>
        <w:rPr>
          <w:sz w:val="22"/>
          <w:szCs w:val="22"/>
        </w:rPr>
      </w:pPr>
      <w:r w:rsidRPr="00066490">
        <w:rPr>
          <w:sz w:val="22"/>
          <w:szCs w:val="22"/>
        </w:rPr>
        <w:t>Căn cứ điểm 20 Mục II Phần A, điểm 2 Mục I, điểm 2 Mục II và điểm 1.2 (c.8), điểm 1.3 (a, c) Mục III Phần B Thông tư số 129/2008/TT-BTC ngày 26/12/2008 của Bộ Tài chính hướng dẫn về thuế GTGT;</w:t>
      </w:r>
    </w:p>
    <w:p w:rsidR="00446986" w:rsidRPr="00066490" w:rsidRDefault="00446986" w:rsidP="00446986">
      <w:pPr>
        <w:pStyle w:val="NormalWeb"/>
        <w:spacing w:before="120" w:beforeAutospacing="0"/>
        <w:rPr>
          <w:sz w:val="22"/>
          <w:szCs w:val="22"/>
        </w:rPr>
      </w:pPr>
      <w:r w:rsidRPr="00066490">
        <w:rPr>
          <w:sz w:val="22"/>
          <w:szCs w:val="22"/>
        </w:rPr>
        <w:t>Căn cứ điểm 1 và điểm 3 Mục II Phần B Thông tư số 60/2007/TT-BTC ngày 14/6/2007 của Bộ Tài chính hướng dẫn thi hành một số điều của Luật Quản lý thuế và hướng dẫn thi hành Nghị định số 85/NĐ-CP ngày 25/5/2007 của Chính phủ quy định chi tiết thi hành một số điều của Luật Quản lý thuế;</w:t>
      </w:r>
    </w:p>
    <w:p w:rsidR="00446986" w:rsidRPr="00066490" w:rsidRDefault="00446986" w:rsidP="00446986">
      <w:pPr>
        <w:pStyle w:val="NormalWeb"/>
        <w:spacing w:before="120" w:beforeAutospacing="0"/>
        <w:rPr>
          <w:sz w:val="22"/>
          <w:szCs w:val="22"/>
        </w:rPr>
      </w:pPr>
      <w:r w:rsidRPr="00066490">
        <w:rPr>
          <w:sz w:val="22"/>
          <w:szCs w:val="22"/>
        </w:rPr>
        <w:t>Căn cứ Mục III, điểm 1 Mục IV, điểm 2.1. Mục XII Phần B Thông tư số 61/2007/TT-BTC ngày 14/6/2007 của Bộ Tài chính hướng dẫn thực hiện xử lý vi phạm pháp luật về thuế.</w:t>
      </w:r>
    </w:p>
    <w:p w:rsidR="00446986" w:rsidRPr="00066490" w:rsidRDefault="00446986" w:rsidP="00446986">
      <w:pPr>
        <w:pStyle w:val="NormalWeb"/>
        <w:spacing w:before="120" w:beforeAutospacing="0"/>
        <w:rPr>
          <w:sz w:val="22"/>
          <w:szCs w:val="22"/>
        </w:rPr>
      </w:pPr>
      <w:r w:rsidRPr="00066490">
        <w:rPr>
          <w:sz w:val="22"/>
          <w:szCs w:val="22"/>
        </w:rPr>
        <w:t>Căn cứ điểm d khoản 4 Điều 45 Thông tư số 194/2010/TT-BTC ngày 6/12/2010 của Bộ Tài chính hướng dẫn về thủ tục hải quan; kiểm tra, giám sát hải quan; thuế xuất khẩu, thuế nhập khẩu và quản lý thuế đối với hàng hóa xuất khẩu, nhập khẩu;</w:t>
      </w:r>
    </w:p>
    <w:p w:rsidR="00446986" w:rsidRPr="00066490" w:rsidRDefault="00446986" w:rsidP="00446986">
      <w:pPr>
        <w:pStyle w:val="NormalWeb"/>
        <w:spacing w:before="120" w:beforeAutospacing="0"/>
        <w:rPr>
          <w:sz w:val="22"/>
          <w:szCs w:val="22"/>
        </w:rPr>
      </w:pPr>
      <w:r w:rsidRPr="00066490">
        <w:rPr>
          <w:sz w:val="22"/>
          <w:szCs w:val="22"/>
        </w:rPr>
        <w:t>Căn cứ các hướng dẫn nêu trên, thì:</w:t>
      </w:r>
    </w:p>
    <w:p w:rsidR="00446986" w:rsidRPr="00066490" w:rsidRDefault="00446986" w:rsidP="00446986">
      <w:pPr>
        <w:pStyle w:val="NormalWeb"/>
        <w:spacing w:before="120" w:beforeAutospacing="0"/>
        <w:rPr>
          <w:sz w:val="22"/>
          <w:szCs w:val="22"/>
        </w:rPr>
      </w:pPr>
      <w:r w:rsidRPr="00066490">
        <w:rPr>
          <w:sz w:val="22"/>
          <w:szCs w:val="22"/>
        </w:rPr>
        <w:t>Trường hợp Chi nhánh Công ty TNHH Hanoi Steel center tại Đà Nẵng (dưới đây viết tắt là Chi nhánh) mã số thuế 0101304653-001 đề nghị hoàn thuế GTGT từ tháng 9/2010 đến tháng 10/2011, thì:</w:t>
      </w:r>
    </w:p>
    <w:p w:rsidR="00446986" w:rsidRPr="00066490" w:rsidRDefault="00446986" w:rsidP="00446986">
      <w:pPr>
        <w:pStyle w:val="NormalWeb"/>
        <w:spacing w:before="120" w:beforeAutospacing="0"/>
        <w:rPr>
          <w:sz w:val="22"/>
          <w:szCs w:val="22"/>
        </w:rPr>
      </w:pPr>
      <w:r w:rsidRPr="00066490">
        <w:rPr>
          <w:sz w:val="22"/>
          <w:szCs w:val="22"/>
        </w:rPr>
        <w:t>- Hồ sơ hoàn thuế GTGT, điều kiện hoàn thuế GTGT và trình tự, thủ tục giải quyết hoàn thuế GTGT theo quy định hiện hành.</w:t>
      </w:r>
    </w:p>
    <w:p w:rsidR="00446986" w:rsidRPr="00066490" w:rsidRDefault="00446986" w:rsidP="00446986">
      <w:pPr>
        <w:pStyle w:val="NormalWeb"/>
        <w:spacing w:before="120" w:beforeAutospacing="0"/>
        <w:rPr>
          <w:sz w:val="22"/>
          <w:szCs w:val="22"/>
        </w:rPr>
      </w:pPr>
      <w:r w:rsidRPr="00066490">
        <w:rPr>
          <w:sz w:val="22"/>
          <w:szCs w:val="22"/>
        </w:rPr>
        <w:lastRenderedPageBreak/>
        <w:t>- Trong thời gian từ ngày 9/8/2010 đến ngày 11/9/2010 Chi nhánh không có MST và không có hóa đơn GTGT, để đảm bảo hoạt động của doanh nghiệp không bị gián đoạn, thì:</w:t>
      </w:r>
    </w:p>
    <w:p w:rsidR="00446986" w:rsidRPr="00066490" w:rsidRDefault="00446986" w:rsidP="00446986">
      <w:pPr>
        <w:pStyle w:val="NormalWeb"/>
        <w:spacing w:before="120" w:beforeAutospacing="0"/>
        <w:rPr>
          <w:sz w:val="22"/>
          <w:szCs w:val="22"/>
        </w:rPr>
      </w:pPr>
      <w:r w:rsidRPr="00066490">
        <w:rPr>
          <w:sz w:val="22"/>
          <w:szCs w:val="22"/>
        </w:rPr>
        <w:t>+ Đối với 06 số hóa đơn của Công ty TNHH Danang Steel Center do Chi nhánh Công ty TNHH Hanoi Steel center tại Đà Nẵng đã sử dụng ghi tên, mã số thuế của Công ty TNHH Danang Steel Center xuất giao cho khách hàng là doanh nghiệp chế xuất thì Chi nhánh được sử dụng hóa đơn GTGT và mã số thuế của pháp nhân cũ là Công ty TNHH Danang Steel Center để kê khai, nộp thuế theo quy định.</w:t>
      </w:r>
    </w:p>
    <w:p w:rsidR="00446986" w:rsidRPr="00066490" w:rsidRDefault="00446986" w:rsidP="00446986">
      <w:pPr>
        <w:pStyle w:val="NormalWeb"/>
        <w:spacing w:before="120" w:beforeAutospacing="0"/>
        <w:rPr>
          <w:sz w:val="22"/>
          <w:szCs w:val="22"/>
        </w:rPr>
      </w:pPr>
      <w:r w:rsidRPr="00066490">
        <w:rPr>
          <w:sz w:val="22"/>
          <w:szCs w:val="22"/>
        </w:rPr>
        <w:t>+ Đối với 03 số hóa đơn của Công ty TNHH Danang Steel Center do Chi nhánh đã sử dụng ghi tên, mã số thuế của Công ty TNHH Danang Steel Center giao cho khách hàng là doanh nghiệp nội địa thì Chi nhánh phải thu hồi, bên bán và bên mua phải lập biên bản, xác nhận việc ghi sai mã số thuế và thực hiện gạch bỏ tên người bán hàng dòng mã số thuế sai, đóng dấu lại theo đúng tên và mã số thuế của Chi nhánh đã được cấp; Chi nhánh phải kê khai, nộp thuế GTGT theo quy định đối với các hóa đơn nêu trên. Chi nhánh bị xử phạt đối với hành vi khai sai dẫn đến thiếu số thuế phải nộp theo quy định tại Mục III Thông tư số 61/2007/TT-BTC ngày 14/6/2007 của Bộ Tài chính hướng dẫn thực hiện xử lý vi phạm pháp luật về thuế. Doanh nghiệp nội địa mua hàng của Chi nhánh được kê khai, khấu trừ thuế GTGT đầu vào của hàng nhập khẩu theo quy định.</w:t>
      </w:r>
    </w:p>
    <w:p w:rsidR="00446986" w:rsidRPr="00066490" w:rsidRDefault="00446986" w:rsidP="00446986">
      <w:pPr>
        <w:pStyle w:val="NormalWeb"/>
        <w:spacing w:before="120" w:beforeAutospacing="0"/>
        <w:rPr>
          <w:sz w:val="22"/>
          <w:szCs w:val="22"/>
        </w:rPr>
      </w:pPr>
      <w:r w:rsidRPr="00066490">
        <w:rPr>
          <w:sz w:val="22"/>
          <w:szCs w:val="22"/>
        </w:rPr>
        <w:t>Đề nghị Cục Thuế thành phố Đà Nẵng phối hợp với cơ quan Hải quan trên địa bàn kiểm tra làm rõ trước khi chuyển đổi Chi nhánh đã làm thủ tục thanh khoản tài sản, hàng hóa có nguồn gốc nhập khẩu để nộp thuế (nếu có) theo quy đinh tại điểm d khoản 4 Điều 45 Thông tư số 194/2010/TT-BTC của Bộ Tài chính hay chưa. Trường hợp Chi nhánh chưa làm thủ tục thanh khoản tài sản, hàng hóa có nguồn gốc nhập khẩu và nộp thuế (nếu có) thì thực hiện truy thu và xử phạt theo quy định.</w:t>
      </w:r>
    </w:p>
    <w:p w:rsidR="00446986" w:rsidRPr="00066490" w:rsidRDefault="00446986" w:rsidP="00446986">
      <w:pPr>
        <w:pStyle w:val="NormalWeb"/>
        <w:spacing w:before="120" w:beforeAutospacing="0"/>
        <w:rPr>
          <w:sz w:val="22"/>
          <w:szCs w:val="22"/>
        </w:rPr>
      </w:pPr>
      <w:r w:rsidRPr="00066490">
        <w:rPr>
          <w:sz w:val="22"/>
          <w:szCs w:val="22"/>
        </w:rPr>
        <w:t>Tổng cục Thuế thông báo để Chi nhánh Công ty TNHH Hanoi Steel center, Cục Thuế thành phố Đà Nẵng được biết./</w:t>
      </w:r>
    </w:p>
    <w:p w:rsidR="00446986" w:rsidRPr="00066490" w:rsidRDefault="00446986" w:rsidP="00446986">
      <w:pPr>
        <w:pStyle w:val="NormalWeb"/>
        <w:spacing w:before="120" w:beforeAutospacing="0"/>
        <w:rPr>
          <w:sz w:val="22"/>
          <w:szCs w:val="22"/>
        </w:rPr>
      </w:pPr>
      <w:r w:rsidRPr="00066490">
        <w:rPr>
          <w:sz w:val="22"/>
          <w:szCs w:val="22"/>
        </w:rPr>
        <w:t> </w:t>
      </w:r>
    </w:p>
    <w:tbl>
      <w:tblPr>
        <w:tblW w:w="0" w:type="auto"/>
        <w:tblCellMar>
          <w:left w:w="0" w:type="dxa"/>
          <w:right w:w="0" w:type="dxa"/>
        </w:tblCellMar>
        <w:tblLook w:val="04A0"/>
      </w:tblPr>
      <w:tblGrid>
        <w:gridCol w:w="4452"/>
        <w:gridCol w:w="4452"/>
      </w:tblGrid>
      <w:tr w:rsidR="00446986" w:rsidRPr="00066490" w:rsidTr="00E20E87">
        <w:tc>
          <w:tcPr>
            <w:tcW w:w="4452" w:type="dxa"/>
            <w:tcMar>
              <w:top w:w="0" w:type="dxa"/>
              <w:left w:w="108" w:type="dxa"/>
              <w:bottom w:w="0" w:type="dxa"/>
              <w:right w:w="108" w:type="dxa"/>
            </w:tcMar>
            <w:hideMark/>
          </w:tcPr>
          <w:p w:rsidR="00446986" w:rsidRPr="00066490" w:rsidRDefault="00446986" w:rsidP="00E20E87">
            <w:pPr>
              <w:pStyle w:val="NormalWeb"/>
              <w:spacing w:before="120" w:beforeAutospacing="0"/>
              <w:rPr>
                <w:sz w:val="22"/>
                <w:szCs w:val="22"/>
              </w:rPr>
            </w:pPr>
            <w:r w:rsidRPr="00066490">
              <w:rPr>
                <w:b/>
                <w:bCs/>
                <w:i/>
                <w:iCs/>
                <w:sz w:val="22"/>
                <w:szCs w:val="22"/>
              </w:rPr>
              <w:t> </w:t>
            </w:r>
          </w:p>
          <w:p w:rsidR="00446986" w:rsidRPr="00066490" w:rsidRDefault="00446986" w:rsidP="00E20E87">
            <w:pPr>
              <w:pStyle w:val="NormalWeb"/>
              <w:spacing w:before="120" w:beforeAutospacing="0"/>
              <w:rPr>
                <w:sz w:val="22"/>
                <w:szCs w:val="22"/>
              </w:rPr>
            </w:pPr>
            <w:r w:rsidRPr="00066490">
              <w:rPr>
                <w:b/>
                <w:bCs/>
                <w:i/>
                <w:iCs/>
                <w:sz w:val="22"/>
                <w:szCs w:val="22"/>
              </w:rPr>
              <w:t>Nơi nhận:</w:t>
            </w:r>
            <w:r w:rsidRPr="00066490">
              <w:rPr>
                <w:b/>
                <w:bCs/>
                <w:i/>
                <w:iCs/>
                <w:sz w:val="22"/>
                <w:szCs w:val="22"/>
              </w:rPr>
              <w:br/>
            </w:r>
            <w:r w:rsidRPr="00066490">
              <w:rPr>
                <w:sz w:val="22"/>
                <w:szCs w:val="22"/>
              </w:rPr>
              <w:t>- Như trên;</w:t>
            </w:r>
            <w:r w:rsidRPr="00066490">
              <w:rPr>
                <w:sz w:val="22"/>
                <w:szCs w:val="22"/>
              </w:rPr>
              <w:br/>
              <w:t>- Thứ trưởng Đỗ Hoàng Anh Tuấn (để b/c)</w:t>
            </w:r>
            <w:r w:rsidRPr="00066490">
              <w:rPr>
                <w:sz w:val="22"/>
                <w:szCs w:val="22"/>
              </w:rPr>
              <w:br/>
              <w:t>- Tổng cục Hải quan;</w:t>
            </w:r>
            <w:r w:rsidRPr="00066490">
              <w:rPr>
                <w:sz w:val="22"/>
                <w:szCs w:val="22"/>
              </w:rPr>
              <w:br/>
              <w:t>- Các Vụ (BTC): PC, CST;</w:t>
            </w:r>
            <w:r w:rsidRPr="00066490">
              <w:rPr>
                <w:sz w:val="22"/>
                <w:szCs w:val="22"/>
              </w:rPr>
              <w:br/>
              <w:t>- Các Vụ (TCT): PC, CS;</w:t>
            </w:r>
            <w:r w:rsidRPr="00066490">
              <w:rPr>
                <w:sz w:val="22"/>
                <w:szCs w:val="22"/>
              </w:rPr>
              <w:br/>
              <w:t>- Lưu: VT, KK (2b).</w:t>
            </w:r>
          </w:p>
        </w:tc>
        <w:tc>
          <w:tcPr>
            <w:tcW w:w="4452" w:type="dxa"/>
            <w:tcMar>
              <w:top w:w="0" w:type="dxa"/>
              <w:left w:w="108" w:type="dxa"/>
              <w:bottom w:w="0" w:type="dxa"/>
              <w:right w:w="108" w:type="dxa"/>
            </w:tcMar>
            <w:hideMark/>
          </w:tcPr>
          <w:p w:rsidR="00446986" w:rsidRPr="00066490" w:rsidRDefault="00446986" w:rsidP="00E20E87">
            <w:pPr>
              <w:pStyle w:val="NormalWeb"/>
              <w:spacing w:before="120" w:beforeAutospacing="0"/>
              <w:jc w:val="center"/>
              <w:rPr>
                <w:sz w:val="22"/>
                <w:szCs w:val="22"/>
              </w:rPr>
            </w:pPr>
            <w:r w:rsidRPr="00066490">
              <w:rPr>
                <w:b/>
                <w:bCs/>
                <w:sz w:val="22"/>
                <w:szCs w:val="22"/>
              </w:rPr>
              <w:t>KT. TỔNG CỤC TRƯỞNG</w:t>
            </w:r>
            <w:r w:rsidRPr="00066490">
              <w:rPr>
                <w:b/>
                <w:bCs/>
                <w:sz w:val="22"/>
                <w:szCs w:val="22"/>
              </w:rPr>
              <w:br/>
              <w:t>PHÓ TỔNG CỤC TRƯỞNG</w:t>
            </w:r>
            <w:r w:rsidRPr="00066490">
              <w:rPr>
                <w:b/>
                <w:bCs/>
                <w:sz w:val="22"/>
                <w:szCs w:val="22"/>
              </w:rPr>
              <w:br/>
            </w:r>
            <w:r w:rsidRPr="00066490">
              <w:rPr>
                <w:b/>
                <w:bCs/>
                <w:sz w:val="22"/>
                <w:szCs w:val="22"/>
              </w:rPr>
              <w:br/>
            </w:r>
            <w:r w:rsidRPr="00066490">
              <w:rPr>
                <w:b/>
                <w:bCs/>
                <w:sz w:val="22"/>
                <w:szCs w:val="22"/>
              </w:rPr>
              <w:br/>
            </w:r>
            <w:r w:rsidRPr="00066490">
              <w:rPr>
                <w:b/>
                <w:bCs/>
                <w:sz w:val="22"/>
                <w:szCs w:val="22"/>
              </w:rPr>
              <w:br/>
            </w:r>
            <w:r w:rsidRPr="00066490">
              <w:rPr>
                <w:b/>
                <w:bCs/>
                <w:sz w:val="22"/>
                <w:szCs w:val="22"/>
              </w:rPr>
              <w:br/>
              <w:t>Cao Anh Tuấn</w:t>
            </w:r>
          </w:p>
        </w:tc>
      </w:tr>
    </w:tbl>
    <w:p w:rsidR="00446986" w:rsidRDefault="00446986" w:rsidP="00446986">
      <w:pPr>
        <w:pStyle w:val="NormalWeb"/>
        <w:spacing w:before="120" w:beforeAutospacing="0"/>
      </w:pPr>
      <w:r>
        <w:rPr>
          <w:sz w:val="20"/>
          <w:szCs w:val="20"/>
        </w:rPr>
        <w:t> </w:t>
      </w:r>
    </w:p>
    <w:p w:rsidR="004A7DEB" w:rsidRDefault="004A7DEB"/>
    <w:sectPr w:rsidR="004A7D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6986"/>
    <w:rsid w:val="000000F0"/>
    <w:rsid w:val="000003DE"/>
    <w:rsid w:val="0000051D"/>
    <w:rsid w:val="0000118F"/>
    <w:rsid w:val="000019B8"/>
    <w:rsid w:val="00003182"/>
    <w:rsid w:val="00004146"/>
    <w:rsid w:val="00013C93"/>
    <w:rsid w:val="00014537"/>
    <w:rsid w:val="000146F6"/>
    <w:rsid w:val="00014A63"/>
    <w:rsid w:val="00020BFA"/>
    <w:rsid w:val="000219B8"/>
    <w:rsid w:val="000222BD"/>
    <w:rsid w:val="00022379"/>
    <w:rsid w:val="0002328D"/>
    <w:rsid w:val="00023848"/>
    <w:rsid w:val="0002425B"/>
    <w:rsid w:val="00024663"/>
    <w:rsid w:val="00024956"/>
    <w:rsid w:val="0003163A"/>
    <w:rsid w:val="00031881"/>
    <w:rsid w:val="00033FF8"/>
    <w:rsid w:val="0003434B"/>
    <w:rsid w:val="00042586"/>
    <w:rsid w:val="00042929"/>
    <w:rsid w:val="0005051B"/>
    <w:rsid w:val="000537F4"/>
    <w:rsid w:val="00053FA4"/>
    <w:rsid w:val="00057F40"/>
    <w:rsid w:val="00060D32"/>
    <w:rsid w:val="00063ABF"/>
    <w:rsid w:val="00066212"/>
    <w:rsid w:val="00072035"/>
    <w:rsid w:val="00072563"/>
    <w:rsid w:val="000770A7"/>
    <w:rsid w:val="000800F5"/>
    <w:rsid w:val="00081BE0"/>
    <w:rsid w:val="000903C3"/>
    <w:rsid w:val="00090ED6"/>
    <w:rsid w:val="000928B7"/>
    <w:rsid w:val="000958A6"/>
    <w:rsid w:val="00096722"/>
    <w:rsid w:val="00096821"/>
    <w:rsid w:val="0009696D"/>
    <w:rsid w:val="000A0147"/>
    <w:rsid w:val="000A0E9A"/>
    <w:rsid w:val="000A33A6"/>
    <w:rsid w:val="000A3634"/>
    <w:rsid w:val="000A380E"/>
    <w:rsid w:val="000A4A01"/>
    <w:rsid w:val="000A5D17"/>
    <w:rsid w:val="000A67C3"/>
    <w:rsid w:val="000B0AB3"/>
    <w:rsid w:val="000B3F8E"/>
    <w:rsid w:val="000B6F65"/>
    <w:rsid w:val="000B79EB"/>
    <w:rsid w:val="000C092F"/>
    <w:rsid w:val="000C18A9"/>
    <w:rsid w:val="000C4D65"/>
    <w:rsid w:val="000C727E"/>
    <w:rsid w:val="000C7669"/>
    <w:rsid w:val="000D02C0"/>
    <w:rsid w:val="000D1567"/>
    <w:rsid w:val="000D2F1F"/>
    <w:rsid w:val="000E0699"/>
    <w:rsid w:val="000E10B4"/>
    <w:rsid w:val="000E21F7"/>
    <w:rsid w:val="000E25B2"/>
    <w:rsid w:val="000E5427"/>
    <w:rsid w:val="000E6D61"/>
    <w:rsid w:val="000E6FBC"/>
    <w:rsid w:val="000E7878"/>
    <w:rsid w:val="000F0E71"/>
    <w:rsid w:val="000F2C51"/>
    <w:rsid w:val="000F4165"/>
    <w:rsid w:val="000F5DBE"/>
    <w:rsid w:val="00101291"/>
    <w:rsid w:val="001021C8"/>
    <w:rsid w:val="00105CEE"/>
    <w:rsid w:val="001074FA"/>
    <w:rsid w:val="00110469"/>
    <w:rsid w:val="00111CDB"/>
    <w:rsid w:val="00117877"/>
    <w:rsid w:val="00117E24"/>
    <w:rsid w:val="00117E3F"/>
    <w:rsid w:val="0012040C"/>
    <w:rsid w:val="00127D9C"/>
    <w:rsid w:val="0013100A"/>
    <w:rsid w:val="001314F1"/>
    <w:rsid w:val="00136F99"/>
    <w:rsid w:val="0014322B"/>
    <w:rsid w:val="00143CAB"/>
    <w:rsid w:val="001455A3"/>
    <w:rsid w:val="00146B59"/>
    <w:rsid w:val="001538BA"/>
    <w:rsid w:val="001560BD"/>
    <w:rsid w:val="00156F01"/>
    <w:rsid w:val="00162C8E"/>
    <w:rsid w:val="001676DC"/>
    <w:rsid w:val="00170243"/>
    <w:rsid w:val="00170430"/>
    <w:rsid w:val="00171D08"/>
    <w:rsid w:val="00177E79"/>
    <w:rsid w:val="00181C6E"/>
    <w:rsid w:val="001836BE"/>
    <w:rsid w:val="00183834"/>
    <w:rsid w:val="00184D08"/>
    <w:rsid w:val="001872FE"/>
    <w:rsid w:val="00190E52"/>
    <w:rsid w:val="00190F79"/>
    <w:rsid w:val="0019168B"/>
    <w:rsid w:val="001929DF"/>
    <w:rsid w:val="001934F5"/>
    <w:rsid w:val="0019630E"/>
    <w:rsid w:val="00197BC1"/>
    <w:rsid w:val="001A0FCE"/>
    <w:rsid w:val="001A13CB"/>
    <w:rsid w:val="001A1C60"/>
    <w:rsid w:val="001A7CE4"/>
    <w:rsid w:val="001B2AD1"/>
    <w:rsid w:val="001B3A23"/>
    <w:rsid w:val="001B73D8"/>
    <w:rsid w:val="001C1CA5"/>
    <w:rsid w:val="001C3906"/>
    <w:rsid w:val="001C4669"/>
    <w:rsid w:val="001C4D76"/>
    <w:rsid w:val="001C6119"/>
    <w:rsid w:val="001C75F9"/>
    <w:rsid w:val="001D169B"/>
    <w:rsid w:val="001D1756"/>
    <w:rsid w:val="001D60DD"/>
    <w:rsid w:val="001D67DB"/>
    <w:rsid w:val="001D6878"/>
    <w:rsid w:val="001E359F"/>
    <w:rsid w:val="001E7985"/>
    <w:rsid w:val="001E7D83"/>
    <w:rsid w:val="001F3130"/>
    <w:rsid w:val="001F32E3"/>
    <w:rsid w:val="001F5B4F"/>
    <w:rsid w:val="001F6836"/>
    <w:rsid w:val="002000DB"/>
    <w:rsid w:val="0020031B"/>
    <w:rsid w:val="00205606"/>
    <w:rsid w:val="00206260"/>
    <w:rsid w:val="00206A67"/>
    <w:rsid w:val="00207ED0"/>
    <w:rsid w:val="00212DCE"/>
    <w:rsid w:val="00221A50"/>
    <w:rsid w:val="00221BDA"/>
    <w:rsid w:val="002238F8"/>
    <w:rsid w:val="00224723"/>
    <w:rsid w:val="002249E8"/>
    <w:rsid w:val="00225D98"/>
    <w:rsid w:val="0022615B"/>
    <w:rsid w:val="0022704C"/>
    <w:rsid w:val="00231470"/>
    <w:rsid w:val="00231BA8"/>
    <w:rsid w:val="002321AD"/>
    <w:rsid w:val="00235919"/>
    <w:rsid w:val="0023679E"/>
    <w:rsid w:val="00240865"/>
    <w:rsid w:val="00240FDD"/>
    <w:rsid w:val="00244005"/>
    <w:rsid w:val="00251E1B"/>
    <w:rsid w:val="002527CC"/>
    <w:rsid w:val="002600FB"/>
    <w:rsid w:val="002601B8"/>
    <w:rsid w:val="0026301D"/>
    <w:rsid w:val="0026543B"/>
    <w:rsid w:val="00266947"/>
    <w:rsid w:val="00267324"/>
    <w:rsid w:val="00267A9A"/>
    <w:rsid w:val="00270E76"/>
    <w:rsid w:val="002724F4"/>
    <w:rsid w:val="0028364D"/>
    <w:rsid w:val="002855BF"/>
    <w:rsid w:val="0028631F"/>
    <w:rsid w:val="002922B2"/>
    <w:rsid w:val="002943A8"/>
    <w:rsid w:val="00296198"/>
    <w:rsid w:val="002A0C12"/>
    <w:rsid w:val="002A1590"/>
    <w:rsid w:val="002B4F35"/>
    <w:rsid w:val="002C1522"/>
    <w:rsid w:val="002C1A2E"/>
    <w:rsid w:val="002C4FBC"/>
    <w:rsid w:val="002C61B9"/>
    <w:rsid w:val="002C65F6"/>
    <w:rsid w:val="002D373E"/>
    <w:rsid w:val="002D3818"/>
    <w:rsid w:val="002D548F"/>
    <w:rsid w:val="002D592B"/>
    <w:rsid w:val="002D68C4"/>
    <w:rsid w:val="002D7785"/>
    <w:rsid w:val="002E088F"/>
    <w:rsid w:val="002E1758"/>
    <w:rsid w:val="002E3099"/>
    <w:rsid w:val="002E3910"/>
    <w:rsid w:val="002E49E6"/>
    <w:rsid w:val="002F0021"/>
    <w:rsid w:val="002F057D"/>
    <w:rsid w:val="002F0EC0"/>
    <w:rsid w:val="002F2717"/>
    <w:rsid w:val="002F46D9"/>
    <w:rsid w:val="00301C9F"/>
    <w:rsid w:val="00306F54"/>
    <w:rsid w:val="00307808"/>
    <w:rsid w:val="00314121"/>
    <w:rsid w:val="00314A38"/>
    <w:rsid w:val="00326847"/>
    <w:rsid w:val="00326BD2"/>
    <w:rsid w:val="00327249"/>
    <w:rsid w:val="003275DC"/>
    <w:rsid w:val="00331C2E"/>
    <w:rsid w:val="003322D0"/>
    <w:rsid w:val="003446E0"/>
    <w:rsid w:val="00345B82"/>
    <w:rsid w:val="00346050"/>
    <w:rsid w:val="00346E16"/>
    <w:rsid w:val="00347BD7"/>
    <w:rsid w:val="00347C1F"/>
    <w:rsid w:val="003517F9"/>
    <w:rsid w:val="00357037"/>
    <w:rsid w:val="00360FC0"/>
    <w:rsid w:val="00364466"/>
    <w:rsid w:val="003649CE"/>
    <w:rsid w:val="003673BD"/>
    <w:rsid w:val="003676F1"/>
    <w:rsid w:val="00370ADC"/>
    <w:rsid w:val="0037598B"/>
    <w:rsid w:val="003801D4"/>
    <w:rsid w:val="00380813"/>
    <w:rsid w:val="00381140"/>
    <w:rsid w:val="003905E6"/>
    <w:rsid w:val="00391739"/>
    <w:rsid w:val="00391E29"/>
    <w:rsid w:val="003A53A4"/>
    <w:rsid w:val="003A6CEA"/>
    <w:rsid w:val="003B165D"/>
    <w:rsid w:val="003B2504"/>
    <w:rsid w:val="003B2DFD"/>
    <w:rsid w:val="003B360F"/>
    <w:rsid w:val="003B44BD"/>
    <w:rsid w:val="003B50DD"/>
    <w:rsid w:val="003C0B34"/>
    <w:rsid w:val="003C205E"/>
    <w:rsid w:val="003C22A2"/>
    <w:rsid w:val="003D033D"/>
    <w:rsid w:val="003D07C7"/>
    <w:rsid w:val="003E131D"/>
    <w:rsid w:val="003E1F84"/>
    <w:rsid w:val="003E3B48"/>
    <w:rsid w:val="003E483A"/>
    <w:rsid w:val="003E5513"/>
    <w:rsid w:val="003F3EFA"/>
    <w:rsid w:val="003F5417"/>
    <w:rsid w:val="003F76FA"/>
    <w:rsid w:val="00402384"/>
    <w:rsid w:val="0040468A"/>
    <w:rsid w:val="00404939"/>
    <w:rsid w:val="004049CD"/>
    <w:rsid w:val="004062BF"/>
    <w:rsid w:val="0040799E"/>
    <w:rsid w:val="0041201A"/>
    <w:rsid w:val="00412055"/>
    <w:rsid w:val="004134C2"/>
    <w:rsid w:val="00416D11"/>
    <w:rsid w:val="00423851"/>
    <w:rsid w:val="00425769"/>
    <w:rsid w:val="004273AF"/>
    <w:rsid w:val="0043058D"/>
    <w:rsid w:val="00430DF9"/>
    <w:rsid w:val="004338A8"/>
    <w:rsid w:val="0043763F"/>
    <w:rsid w:val="00441AD3"/>
    <w:rsid w:val="00445BAC"/>
    <w:rsid w:val="00446986"/>
    <w:rsid w:val="004510B8"/>
    <w:rsid w:val="00451F18"/>
    <w:rsid w:val="00455C03"/>
    <w:rsid w:val="00460046"/>
    <w:rsid w:val="00463468"/>
    <w:rsid w:val="004654B5"/>
    <w:rsid w:val="004678FB"/>
    <w:rsid w:val="00467EB7"/>
    <w:rsid w:val="004701FA"/>
    <w:rsid w:val="0047034F"/>
    <w:rsid w:val="0047539F"/>
    <w:rsid w:val="00480F7B"/>
    <w:rsid w:val="004810C6"/>
    <w:rsid w:val="00481CE4"/>
    <w:rsid w:val="0048370B"/>
    <w:rsid w:val="00484349"/>
    <w:rsid w:val="00490A9B"/>
    <w:rsid w:val="00496630"/>
    <w:rsid w:val="004972FB"/>
    <w:rsid w:val="00497555"/>
    <w:rsid w:val="0049766A"/>
    <w:rsid w:val="004A0B05"/>
    <w:rsid w:val="004A2DBE"/>
    <w:rsid w:val="004A553B"/>
    <w:rsid w:val="004A62F4"/>
    <w:rsid w:val="004A7DEB"/>
    <w:rsid w:val="004B080A"/>
    <w:rsid w:val="004B4B86"/>
    <w:rsid w:val="004B604E"/>
    <w:rsid w:val="004C1729"/>
    <w:rsid w:val="004C22EB"/>
    <w:rsid w:val="004C27CB"/>
    <w:rsid w:val="004C3F2E"/>
    <w:rsid w:val="004C599C"/>
    <w:rsid w:val="004C76C1"/>
    <w:rsid w:val="004D21C8"/>
    <w:rsid w:val="004D2CFD"/>
    <w:rsid w:val="004D67D9"/>
    <w:rsid w:val="004E04D1"/>
    <w:rsid w:val="004E62B8"/>
    <w:rsid w:val="004E677C"/>
    <w:rsid w:val="004E7F57"/>
    <w:rsid w:val="004F02AD"/>
    <w:rsid w:val="004F1733"/>
    <w:rsid w:val="004F2EC4"/>
    <w:rsid w:val="004F4680"/>
    <w:rsid w:val="004F4EAC"/>
    <w:rsid w:val="00505CA8"/>
    <w:rsid w:val="00505F47"/>
    <w:rsid w:val="0051226D"/>
    <w:rsid w:val="005124DB"/>
    <w:rsid w:val="005129D4"/>
    <w:rsid w:val="00512DBA"/>
    <w:rsid w:val="0051325F"/>
    <w:rsid w:val="00515552"/>
    <w:rsid w:val="00515B2D"/>
    <w:rsid w:val="0052132C"/>
    <w:rsid w:val="00522513"/>
    <w:rsid w:val="00531856"/>
    <w:rsid w:val="00536333"/>
    <w:rsid w:val="005365BD"/>
    <w:rsid w:val="005400B1"/>
    <w:rsid w:val="00540771"/>
    <w:rsid w:val="00543161"/>
    <w:rsid w:val="00543169"/>
    <w:rsid w:val="00544A85"/>
    <w:rsid w:val="00547B92"/>
    <w:rsid w:val="00547D20"/>
    <w:rsid w:val="00557DB3"/>
    <w:rsid w:val="00560B77"/>
    <w:rsid w:val="0057484C"/>
    <w:rsid w:val="00584CDB"/>
    <w:rsid w:val="005850FB"/>
    <w:rsid w:val="00586E99"/>
    <w:rsid w:val="005937E6"/>
    <w:rsid w:val="00594C7F"/>
    <w:rsid w:val="00595290"/>
    <w:rsid w:val="00596704"/>
    <w:rsid w:val="00596B60"/>
    <w:rsid w:val="005A0BC1"/>
    <w:rsid w:val="005A2932"/>
    <w:rsid w:val="005A68A4"/>
    <w:rsid w:val="005A77CD"/>
    <w:rsid w:val="005A797E"/>
    <w:rsid w:val="005B3D40"/>
    <w:rsid w:val="005B5037"/>
    <w:rsid w:val="005C05D5"/>
    <w:rsid w:val="005C6D98"/>
    <w:rsid w:val="005E3EB6"/>
    <w:rsid w:val="005F052B"/>
    <w:rsid w:val="005F0530"/>
    <w:rsid w:val="005F3308"/>
    <w:rsid w:val="005F4B96"/>
    <w:rsid w:val="005F559C"/>
    <w:rsid w:val="005F635F"/>
    <w:rsid w:val="005F7A21"/>
    <w:rsid w:val="00600BD8"/>
    <w:rsid w:val="006010D4"/>
    <w:rsid w:val="00605423"/>
    <w:rsid w:val="00606E6C"/>
    <w:rsid w:val="00610180"/>
    <w:rsid w:val="00615A22"/>
    <w:rsid w:val="0061645A"/>
    <w:rsid w:val="00617D9E"/>
    <w:rsid w:val="006200EB"/>
    <w:rsid w:val="0062531E"/>
    <w:rsid w:val="00626AEE"/>
    <w:rsid w:val="00627B9F"/>
    <w:rsid w:val="006302E5"/>
    <w:rsid w:val="00634929"/>
    <w:rsid w:val="00636183"/>
    <w:rsid w:val="0064233C"/>
    <w:rsid w:val="00642FC9"/>
    <w:rsid w:val="00646A28"/>
    <w:rsid w:val="006474E1"/>
    <w:rsid w:val="00647B3D"/>
    <w:rsid w:val="00655AA2"/>
    <w:rsid w:val="00662081"/>
    <w:rsid w:val="00662B73"/>
    <w:rsid w:val="00667200"/>
    <w:rsid w:val="00672621"/>
    <w:rsid w:val="0067293F"/>
    <w:rsid w:val="00677D19"/>
    <w:rsid w:val="00681C97"/>
    <w:rsid w:val="0068285F"/>
    <w:rsid w:val="00682CBF"/>
    <w:rsid w:val="006868FF"/>
    <w:rsid w:val="00690949"/>
    <w:rsid w:val="00690E43"/>
    <w:rsid w:val="00692227"/>
    <w:rsid w:val="00693C6D"/>
    <w:rsid w:val="0069442D"/>
    <w:rsid w:val="006961A9"/>
    <w:rsid w:val="00697C37"/>
    <w:rsid w:val="006A05E6"/>
    <w:rsid w:val="006A0991"/>
    <w:rsid w:val="006A14CA"/>
    <w:rsid w:val="006A415D"/>
    <w:rsid w:val="006B6484"/>
    <w:rsid w:val="006B67D9"/>
    <w:rsid w:val="006C0A1A"/>
    <w:rsid w:val="006C0E78"/>
    <w:rsid w:val="006C52F0"/>
    <w:rsid w:val="006D7FE1"/>
    <w:rsid w:val="006E1BB8"/>
    <w:rsid w:val="006E3FDE"/>
    <w:rsid w:val="006E4364"/>
    <w:rsid w:val="006E57DA"/>
    <w:rsid w:val="006E59DC"/>
    <w:rsid w:val="006E60FC"/>
    <w:rsid w:val="006E6A82"/>
    <w:rsid w:val="006F405D"/>
    <w:rsid w:val="006F79D6"/>
    <w:rsid w:val="0070108F"/>
    <w:rsid w:val="00703394"/>
    <w:rsid w:val="00703BFD"/>
    <w:rsid w:val="00706095"/>
    <w:rsid w:val="007066F6"/>
    <w:rsid w:val="007067D7"/>
    <w:rsid w:val="00707403"/>
    <w:rsid w:val="00715E17"/>
    <w:rsid w:val="00716A74"/>
    <w:rsid w:val="00720F82"/>
    <w:rsid w:val="007220C6"/>
    <w:rsid w:val="00722CDE"/>
    <w:rsid w:val="00723B3C"/>
    <w:rsid w:val="00724939"/>
    <w:rsid w:val="0072536C"/>
    <w:rsid w:val="007317A6"/>
    <w:rsid w:val="00734073"/>
    <w:rsid w:val="007403D2"/>
    <w:rsid w:val="007433F5"/>
    <w:rsid w:val="00744049"/>
    <w:rsid w:val="00747478"/>
    <w:rsid w:val="00747A29"/>
    <w:rsid w:val="007509BA"/>
    <w:rsid w:val="0076161A"/>
    <w:rsid w:val="0076193E"/>
    <w:rsid w:val="00763730"/>
    <w:rsid w:val="00765BC3"/>
    <w:rsid w:val="00765D02"/>
    <w:rsid w:val="00772DE6"/>
    <w:rsid w:val="007765F5"/>
    <w:rsid w:val="00776BA8"/>
    <w:rsid w:val="0078419F"/>
    <w:rsid w:val="00784749"/>
    <w:rsid w:val="00787204"/>
    <w:rsid w:val="0078777E"/>
    <w:rsid w:val="00793287"/>
    <w:rsid w:val="007948D5"/>
    <w:rsid w:val="00795097"/>
    <w:rsid w:val="00796503"/>
    <w:rsid w:val="0079683B"/>
    <w:rsid w:val="007A1164"/>
    <w:rsid w:val="007A1E79"/>
    <w:rsid w:val="007A24D6"/>
    <w:rsid w:val="007A4F12"/>
    <w:rsid w:val="007A7DE0"/>
    <w:rsid w:val="007B18AA"/>
    <w:rsid w:val="007B4334"/>
    <w:rsid w:val="007C0439"/>
    <w:rsid w:val="007C129D"/>
    <w:rsid w:val="007C417F"/>
    <w:rsid w:val="007D1057"/>
    <w:rsid w:val="007D5C74"/>
    <w:rsid w:val="007D7178"/>
    <w:rsid w:val="007D71DB"/>
    <w:rsid w:val="007E0671"/>
    <w:rsid w:val="007E2076"/>
    <w:rsid w:val="007E37DE"/>
    <w:rsid w:val="007E781D"/>
    <w:rsid w:val="007F0784"/>
    <w:rsid w:val="007F373D"/>
    <w:rsid w:val="007F6E7E"/>
    <w:rsid w:val="007F79E1"/>
    <w:rsid w:val="0080288B"/>
    <w:rsid w:val="00805BCE"/>
    <w:rsid w:val="00807665"/>
    <w:rsid w:val="008150CE"/>
    <w:rsid w:val="00815219"/>
    <w:rsid w:val="00815F8A"/>
    <w:rsid w:val="0081789F"/>
    <w:rsid w:val="00821904"/>
    <w:rsid w:val="008258E1"/>
    <w:rsid w:val="008334FF"/>
    <w:rsid w:val="00840469"/>
    <w:rsid w:val="00840BF3"/>
    <w:rsid w:val="00840C1D"/>
    <w:rsid w:val="00841C24"/>
    <w:rsid w:val="0084485F"/>
    <w:rsid w:val="00844AC3"/>
    <w:rsid w:val="00845799"/>
    <w:rsid w:val="00846C0E"/>
    <w:rsid w:val="00847CEC"/>
    <w:rsid w:val="008516FB"/>
    <w:rsid w:val="00852A10"/>
    <w:rsid w:val="008554C7"/>
    <w:rsid w:val="00855E05"/>
    <w:rsid w:val="0086060E"/>
    <w:rsid w:val="00860E1C"/>
    <w:rsid w:val="00861293"/>
    <w:rsid w:val="0086166A"/>
    <w:rsid w:val="00865B86"/>
    <w:rsid w:val="00865D0B"/>
    <w:rsid w:val="0087206A"/>
    <w:rsid w:val="008734B7"/>
    <w:rsid w:val="00875547"/>
    <w:rsid w:val="0088364A"/>
    <w:rsid w:val="00883A6E"/>
    <w:rsid w:val="00883C99"/>
    <w:rsid w:val="008851C3"/>
    <w:rsid w:val="00885642"/>
    <w:rsid w:val="0089108C"/>
    <w:rsid w:val="008976B5"/>
    <w:rsid w:val="00897FE5"/>
    <w:rsid w:val="008A014A"/>
    <w:rsid w:val="008A0868"/>
    <w:rsid w:val="008A56A5"/>
    <w:rsid w:val="008A6CB3"/>
    <w:rsid w:val="008B202E"/>
    <w:rsid w:val="008B3556"/>
    <w:rsid w:val="008B35BC"/>
    <w:rsid w:val="008B40F0"/>
    <w:rsid w:val="008B4C30"/>
    <w:rsid w:val="008B510D"/>
    <w:rsid w:val="008B52AB"/>
    <w:rsid w:val="008C0CD2"/>
    <w:rsid w:val="008C3B20"/>
    <w:rsid w:val="008C4704"/>
    <w:rsid w:val="008C49CE"/>
    <w:rsid w:val="008C7006"/>
    <w:rsid w:val="008C7462"/>
    <w:rsid w:val="008E37D3"/>
    <w:rsid w:val="008E4AD7"/>
    <w:rsid w:val="008E58A6"/>
    <w:rsid w:val="008F0E3D"/>
    <w:rsid w:val="008F2748"/>
    <w:rsid w:val="008F31BE"/>
    <w:rsid w:val="008F4C66"/>
    <w:rsid w:val="008F70BB"/>
    <w:rsid w:val="008F76F8"/>
    <w:rsid w:val="0090402B"/>
    <w:rsid w:val="00906955"/>
    <w:rsid w:val="00912410"/>
    <w:rsid w:val="00913AC4"/>
    <w:rsid w:val="009145E7"/>
    <w:rsid w:val="009146C6"/>
    <w:rsid w:val="00921F71"/>
    <w:rsid w:val="00924C33"/>
    <w:rsid w:val="00927B43"/>
    <w:rsid w:val="0093029A"/>
    <w:rsid w:val="009303A1"/>
    <w:rsid w:val="00930AF2"/>
    <w:rsid w:val="00932F7B"/>
    <w:rsid w:val="0093474D"/>
    <w:rsid w:val="00935753"/>
    <w:rsid w:val="0094025A"/>
    <w:rsid w:val="00944A50"/>
    <w:rsid w:val="009453F3"/>
    <w:rsid w:val="009464D5"/>
    <w:rsid w:val="009550A5"/>
    <w:rsid w:val="00956999"/>
    <w:rsid w:val="00956FC4"/>
    <w:rsid w:val="00960317"/>
    <w:rsid w:val="009603F9"/>
    <w:rsid w:val="00962245"/>
    <w:rsid w:val="0096403B"/>
    <w:rsid w:val="00967065"/>
    <w:rsid w:val="0098335A"/>
    <w:rsid w:val="009839DF"/>
    <w:rsid w:val="00983F2C"/>
    <w:rsid w:val="00985343"/>
    <w:rsid w:val="009878B2"/>
    <w:rsid w:val="00992945"/>
    <w:rsid w:val="00992BBE"/>
    <w:rsid w:val="009931FE"/>
    <w:rsid w:val="00993ED6"/>
    <w:rsid w:val="00994D8F"/>
    <w:rsid w:val="00997965"/>
    <w:rsid w:val="009A3500"/>
    <w:rsid w:val="009A6765"/>
    <w:rsid w:val="009A6B89"/>
    <w:rsid w:val="009A7BFD"/>
    <w:rsid w:val="009B1D8B"/>
    <w:rsid w:val="009B2E18"/>
    <w:rsid w:val="009B7950"/>
    <w:rsid w:val="009C16DD"/>
    <w:rsid w:val="009C34C4"/>
    <w:rsid w:val="009C3AA5"/>
    <w:rsid w:val="009D0E89"/>
    <w:rsid w:val="009D43F5"/>
    <w:rsid w:val="009E2C88"/>
    <w:rsid w:val="009E78EE"/>
    <w:rsid w:val="009F0E36"/>
    <w:rsid w:val="009F14E9"/>
    <w:rsid w:val="009F2299"/>
    <w:rsid w:val="009F7D2B"/>
    <w:rsid w:val="00A041CD"/>
    <w:rsid w:val="00A0645E"/>
    <w:rsid w:val="00A0730E"/>
    <w:rsid w:val="00A07A9E"/>
    <w:rsid w:val="00A14C69"/>
    <w:rsid w:val="00A15BA2"/>
    <w:rsid w:val="00A1613E"/>
    <w:rsid w:val="00A177E8"/>
    <w:rsid w:val="00A17CE7"/>
    <w:rsid w:val="00A20F57"/>
    <w:rsid w:val="00A22951"/>
    <w:rsid w:val="00A2473A"/>
    <w:rsid w:val="00A25038"/>
    <w:rsid w:val="00A33831"/>
    <w:rsid w:val="00A42BC8"/>
    <w:rsid w:val="00A42CBE"/>
    <w:rsid w:val="00A46E3A"/>
    <w:rsid w:val="00A51023"/>
    <w:rsid w:val="00A53C93"/>
    <w:rsid w:val="00A62639"/>
    <w:rsid w:val="00A62D86"/>
    <w:rsid w:val="00A64345"/>
    <w:rsid w:val="00A6484D"/>
    <w:rsid w:val="00A6587B"/>
    <w:rsid w:val="00A65A68"/>
    <w:rsid w:val="00A66BBA"/>
    <w:rsid w:val="00A67B91"/>
    <w:rsid w:val="00A67CC4"/>
    <w:rsid w:val="00A702DF"/>
    <w:rsid w:val="00A722D6"/>
    <w:rsid w:val="00A729FB"/>
    <w:rsid w:val="00A74487"/>
    <w:rsid w:val="00A754B7"/>
    <w:rsid w:val="00A75A92"/>
    <w:rsid w:val="00A75B25"/>
    <w:rsid w:val="00A768D1"/>
    <w:rsid w:val="00A84DFD"/>
    <w:rsid w:val="00A924C6"/>
    <w:rsid w:val="00A96707"/>
    <w:rsid w:val="00A97248"/>
    <w:rsid w:val="00AA00A2"/>
    <w:rsid w:val="00AA0FD1"/>
    <w:rsid w:val="00AA1553"/>
    <w:rsid w:val="00AA28E7"/>
    <w:rsid w:val="00AA6AC2"/>
    <w:rsid w:val="00AB3901"/>
    <w:rsid w:val="00AB5F9F"/>
    <w:rsid w:val="00AB6CFF"/>
    <w:rsid w:val="00AB7415"/>
    <w:rsid w:val="00AB77F1"/>
    <w:rsid w:val="00AC0BBC"/>
    <w:rsid w:val="00AC213E"/>
    <w:rsid w:val="00AC5825"/>
    <w:rsid w:val="00AD126D"/>
    <w:rsid w:val="00AD3131"/>
    <w:rsid w:val="00AD33C7"/>
    <w:rsid w:val="00AD7DEA"/>
    <w:rsid w:val="00AE210D"/>
    <w:rsid w:val="00AF0A2E"/>
    <w:rsid w:val="00AF0CB0"/>
    <w:rsid w:val="00AF159D"/>
    <w:rsid w:val="00AF208D"/>
    <w:rsid w:val="00B067BD"/>
    <w:rsid w:val="00B06CE1"/>
    <w:rsid w:val="00B1320D"/>
    <w:rsid w:val="00B1420A"/>
    <w:rsid w:val="00B15094"/>
    <w:rsid w:val="00B23286"/>
    <w:rsid w:val="00B320BF"/>
    <w:rsid w:val="00B32F65"/>
    <w:rsid w:val="00B33CC5"/>
    <w:rsid w:val="00B368A8"/>
    <w:rsid w:val="00B371FA"/>
    <w:rsid w:val="00B40E84"/>
    <w:rsid w:val="00B45A74"/>
    <w:rsid w:val="00B55C6E"/>
    <w:rsid w:val="00B60B67"/>
    <w:rsid w:val="00B61467"/>
    <w:rsid w:val="00B630E8"/>
    <w:rsid w:val="00B713B8"/>
    <w:rsid w:val="00B7466B"/>
    <w:rsid w:val="00B75644"/>
    <w:rsid w:val="00B81FD9"/>
    <w:rsid w:val="00B87324"/>
    <w:rsid w:val="00B87783"/>
    <w:rsid w:val="00B87ADE"/>
    <w:rsid w:val="00B93B4D"/>
    <w:rsid w:val="00B94DC3"/>
    <w:rsid w:val="00BA0B04"/>
    <w:rsid w:val="00BA3145"/>
    <w:rsid w:val="00BA506B"/>
    <w:rsid w:val="00BB0B30"/>
    <w:rsid w:val="00BB0FB8"/>
    <w:rsid w:val="00BB5D8F"/>
    <w:rsid w:val="00BC0A49"/>
    <w:rsid w:val="00BC0FC0"/>
    <w:rsid w:val="00BC149C"/>
    <w:rsid w:val="00BC3204"/>
    <w:rsid w:val="00BC42F9"/>
    <w:rsid w:val="00BC73AA"/>
    <w:rsid w:val="00BD70C2"/>
    <w:rsid w:val="00BD7762"/>
    <w:rsid w:val="00BE0090"/>
    <w:rsid w:val="00BE5170"/>
    <w:rsid w:val="00BF15B9"/>
    <w:rsid w:val="00BF247E"/>
    <w:rsid w:val="00BF5C90"/>
    <w:rsid w:val="00BF6E02"/>
    <w:rsid w:val="00C04101"/>
    <w:rsid w:val="00C04E7A"/>
    <w:rsid w:val="00C07FF9"/>
    <w:rsid w:val="00C11A5C"/>
    <w:rsid w:val="00C2224C"/>
    <w:rsid w:val="00C23D56"/>
    <w:rsid w:val="00C30447"/>
    <w:rsid w:val="00C309CA"/>
    <w:rsid w:val="00C30D26"/>
    <w:rsid w:val="00C353CC"/>
    <w:rsid w:val="00C37D0C"/>
    <w:rsid w:val="00C422E0"/>
    <w:rsid w:val="00C44409"/>
    <w:rsid w:val="00C458C4"/>
    <w:rsid w:val="00C4782C"/>
    <w:rsid w:val="00C5247E"/>
    <w:rsid w:val="00C53E7F"/>
    <w:rsid w:val="00C556B1"/>
    <w:rsid w:val="00C55D2F"/>
    <w:rsid w:val="00C57294"/>
    <w:rsid w:val="00C60E13"/>
    <w:rsid w:val="00C63E03"/>
    <w:rsid w:val="00C63F96"/>
    <w:rsid w:val="00C647C6"/>
    <w:rsid w:val="00C6520B"/>
    <w:rsid w:val="00C704E1"/>
    <w:rsid w:val="00C7327F"/>
    <w:rsid w:val="00C73A51"/>
    <w:rsid w:val="00C75B46"/>
    <w:rsid w:val="00C76E33"/>
    <w:rsid w:val="00C81851"/>
    <w:rsid w:val="00C829F0"/>
    <w:rsid w:val="00C833AE"/>
    <w:rsid w:val="00C83F65"/>
    <w:rsid w:val="00C861E8"/>
    <w:rsid w:val="00C91D7A"/>
    <w:rsid w:val="00C92543"/>
    <w:rsid w:val="00C93EDC"/>
    <w:rsid w:val="00C95301"/>
    <w:rsid w:val="00C9592B"/>
    <w:rsid w:val="00C97200"/>
    <w:rsid w:val="00CA1232"/>
    <w:rsid w:val="00CA252E"/>
    <w:rsid w:val="00CA3697"/>
    <w:rsid w:val="00CA64CD"/>
    <w:rsid w:val="00CA680C"/>
    <w:rsid w:val="00CA78AF"/>
    <w:rsid w:val="00CB214E"/>
    <w:rsid w:val="00CC10C8"/>
    <w:rsid w:val="00CC1557"/>
    <w:rsid w:val="00CC4C9A"/>
    <w:rsid w:val="00CC70EE"/>
    <w:rsid w:val="00CD004B"/>
    <w:rsid w:val="00CD125E"/>
    <w:rsid w:val="00CD54A1"/>
    <w:rsid w:val="00CD5C1C"/>
    <w:rsid w:val="00CE3787"/>
    <w:rsid w:val="00CF01B3"/>
    <w:rsid w:val="00CF05E5"/>
    <w:rsid w:val="00CF3F05"/>
    <w:rsid w:val="00D013EE"/>
    <w:rsid w:val="00D01680"/>
    <w:rsid w:val="00D12717"/>
    <w:rsid w:val="00D128C0"/>
    <w:rsid w:val="00D174D2"/>
    <w:rsid w:val="00D22772"/>
    <w:rsid w:val="00D30599"/>
    <w:rsid w:val="00D346DE"/>
    <w:rsid w:val="00D35DF8"/>
    <w:rsid w:val="00D3666C"/>
    <w:rsid w:val="00D40454"/>
    <w:rsid w:val="00D425AE"/>
    <w:rsid w:val="00D4409D"/>
    <w:rsid w:val="00D4421E"/>
    <w:rsid w:val="00D45FEA"/>
    <w:rsid w:val="00D53347"/>
    <w:rsid w:val="00D535DF"/>
    <w:rsid w:val="00D5469D"/>
    <w:rsid w:val="00D6198B"/>
    <w:rsid w:val="00D6276D"/>
    <w:rsid w:val="00D63262"/>
    <w:rsid w:val="00D64386"/>
    <w:rsid w:val="00D71C5E"/>
    <w:rsid w:val="00D77F6A"/>
    <w:rsid w:val="00D8367D"/>
    <w:rsid w:val="00D94731"/>
    <w:rsid w:val="00D9688C"/>
    <w:rsid w:val="00DA0C48"/>
    <w:rsid w:val="00DA0D06"/>
    <w:rsid w:val="00DA46EB"/>
    <w:rsid w:val="00DA5573"/>
    <w:rsid w:val="00DA590E"/>
    <w:rsid w:val="00DA7002"/>
    <w:rsid w:val="00DA701C"/>
    <w:rsid w:val="00DA7732"/>
    <w:rsid w:val="00DB15E8"/>
    <w:rsid w:val="00DB2BB0"/>
    <w:rsid w:val="00DB6BC2"/>
    <w:rsid w:val="00DC24E5"/>
    <w:rsid w:val="00DC4098"/>
    <w:rsid w:val="00DC56FC"/>
    <w:rsid w:val="00DC7C56"/>
    <w:rsid w:val="00DD09C7"/>
    <w:rsid w:val="00DD48F8"/>
    <w:rsid w:val="00DD6746"/>
    <w:rsid w:val="00DE14CD"/>
    <w:rsid w:val="00DE1A3F"/>
    <w:rsid w:val="00DE2DF9"/>
    <w:rsid w:val="00DF32C8"/>
    <w:rsid w:val="00DF7105"/>
    <w:rsid w:val="00E0100D"/>
    <w:rsid w:val="00E0415C"/>
    <w:rsid w:val="00E11CB2"/>
    <w:rsid w:val="00E15D9E"/>
    <w:rsid w:val="00E1636C"/>
    <w:rsid w:val="00E16C6F"/>
    <w:rsid w:val="00E17F7F"/>
    <w:rsid w:val="00E2163C"/>
    <w:rsid w:val="00E21A03"/>
    <w:rsid w:val="00E23E6B"/>
    <w:rsid w:val="00E328DD"/>
    <w:rsid w:val="00E32C51"/>
    <w:rsid w:val="00E35F12"/>
    <w:rsid w:val="00E36E37"/>
    <w:rsid w:val="00E5136D"/>
    <w:rsid w:val="00E522DF"/>
    <w:rsid w:val="00E53CCF"/>
    <w:rsid w:val="00E54186"/>
    <w:rsid w:val="00E557A4"/>
    <w:rsid w:val="00E6032A"/>
    <w:rsid w:val="00E61C69"/>
    <w:rsid w:val="00E61D2E"/>
    <w:rsid w:val="00E62169"/>
    <w:rsid w:val="00E64F94"/>
    <w:rsid w:val="00E66220"/>
    <w:rsid w:val="00E66DA2"/>
    <w:rsid w:val="00E67630"/>
    <w:rsid w:val="00E70259"/>
    <w:rsid w:val="00E7256D"/>
    <w:rsid w:val="00E732F9"/>
    <w:rsid w:val="00E75EDB"/>
    <w:rsid w:val="00E7712B"/>
    <w:rsid w:val="00E8064A"/>
    <w:rsid w:val="00E81A3B"/>
    <w:rsid w:val="00E86F0D"/>
    <w:rsid w:val="00E877A2"/>
    <w:rsid w:val="00E96B55"/>
    <w:rsid w:val="00EA27E5"/>
    <w:rsid w:val="00EA2D1F"/>
    <w:rsid w:val="00EA5523"/>
    <w:rsid w:val="00EB113F"/>
    <w:rsid w:val="00EB7DFF"/>
    <w:rsid w:val="00EC32C2"/>
    <w:rsid w:val="00EC3D97"/>
    <w:rsid w:val="00ED0A29"/>
    <w:rsid w:val="00ED22FA"/>
    <w:rsid w:val="00ED31F4"/>
    <w:rsid w:val="00ED394C"/>
    <w:rsid w:val="00ED39D2"/>
    <w:rsid w:val="00ED499F"/>
    <w:rsid w:val="00ED716E"/>
    <w:rsid w:val="00EE5B17"/>
    <w:rsid w:val="00EE6B83"/>
    <w:rsid w:val="00EF048F"/>
    <w:rsid w:val="00EF09BA"/>
    <w:rsid w:val="00EF2E82"/>
    <w:rsid w:val="00EF57F0"/>
    <w:rsid w:val="00EF6041"/>
    <w:rsid w:val="00F001D9"/>
    <w:rsid w:val="00F00E4E"/>
    <w:rsid w:val="00F01EE4"/>
    <w:rsid w:val="00F02DDA"/>
    <w:rsid w:val="00F03991"/>
    <w:rsid w:val="00F112CE"/>
    <w:rsid w:val="00F22DD2"/>
    <w:rsid w:val="00F23E11"/>
    <w:rsid w:val="00F303DE"/>
    <w:rsid w:val="00F35368"/>
    <w:rsid w:val="00F40263"/>
    <w:rsid w:val="00F41B54"/>
    <w:rsid w:val="00F42EE1"/>
    <w:rsid w:val="00F4693B"/>
    <w:rsid w:val="00F47AAE"/>
    <w:rsid w:val="00F55075"/>
    <w:rsid w:val="00F55326"/>
    <w:rsid w:val="00F557E2"/>
    <w:rsid w:val="00F55A92"/>
    <w:rsid w:val="00F60094"/>
    <w:rsid w:val="00F602BA"/>
    <w:rsid w:val="00F60E15"/>
    <w:rsid w:val="00F65802"/>
    <w:rsid w:val="00F67BFC"/>
    <w:rsid w:val="00F71FC2"/>
    <w:rsid w:val="00F74E07"/>
    <w:rsid w:val="00F774FA"/>
    <w:rsid w:val="00F808FF"/>
    <w:rsid w:val="00F82E2C"/>
    <w:rsid w:val="00F83119"/>
    <w:rsid w:val="00F8538B"/>
    <w:rsid w:val="00F856C0"/>
    <w:rsid w:val="00F86F7C"/>
    <w:rsid w:val="00F87D55"/>
    <w:rsid w:val="00F91C78"/>
    <w:rsid w:val="00F92DA4"/>
    <w:rsid w:val="00F9351E"/>
    <w:rsid w:val="00F96FF2"/>
    <w:rsid w:val="00FA1C2F"/>
    <w:rsid w:val="00FA2757"/>
    <w:rsid w:val="00FA49B3"/>
    <w:rsid w:val="00FA5BF5"/>
    <w:rsid w:val="00FA75F9"/>
    <w:rsid w:val="00FB0F1E"/>
    <w:rsid w:val="00FB23A7"/>
    <w:rsid w:val="00FB5C30"/>
    <w:rsid w:val="00FC4A70"/>
    <w:rsid w:val="00FD0732"/>
    <w:rsid w:val="00FD15B7"/>
    <w:rsid w:val="00FD1F5D"/>
    <w:rsid w:val="00FD20C8"/>
    <w:rsid w:val="00FD7028"/>
    <w:rsid w:val="00FE1AA4"/>
    <w:rsid w:val="00FE7783"/>
    <w:rsid w:val="00FF0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9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Company>Microsoft</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2012-12-24T03:24:00Z</dcterms:created>
  <dcterms:modified xsi:type="dcterms:W3CDTF">2012-12-24T03:25:00Z</dcterms:modified>
</cp:coreProperties>
</file>