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3348"/>
        <w:gridCol w:w="5631"/>
      </w:tblGrid>
      <w:tr w:rsidR="00254EB3">
        <w:trPr>
          <w:divId w:val="719551558"/>
        </w:trPr>
        <w:tc>
          <w:tcPr>
            <w:tcW w:w="3348" w:type="dxa"/>
            <w:tcMar>
              <w:top w:w="0" w:type="dxa"/>
              <w:left w:w="108" w:type="dxa"/>
              <w:bottom w:w="0" w:type="dxa"/>
              <w:right w:w="108" w:type="dxa"/>
            </w:tcMar>
            <w:hideMark/>
          </w:tcPr>
          <w:p w:rsidR="00254EB3" w:rsidRDefault="00254EB3">
            <w:pPr>
              <w:pStyle w:val="NormalWeb"/>
              <w:spacing w:before="120" w:beforeAutospacing="0"/>
              <w:jc w:val="center"/>
            </w:pPr>
            <w:r w:rsidRPr="00327723">
              <w:rPr>
                <w:sz w:val="20"/>
                <w:szCs w:val="20"/>
              </w:rPr>
              <w:t>BỘ TÀI CHÍNH</w:t>
            </w:r>
            <w:r w:rsidRPr="00327723">
              <w:rPr>
                <w:b/>
                <w:bCs/>
                <w:sz w:val="20"/>
                <w:szCs w:val="20"/>
              </w:rPr>
              <w:br/>
              <w:t>TỔNG CỤC HẢI QUAN</w:t>
            </w:r>
            <w:r w:rsidRPr="00327723">
              <w:rPr>
                <w:b/>
                <w:bCs/>
                <w:sz w:val="20"/>
                <w:szCs w:val="20"/>
              </w:rPr>
              <w:br/>
              <w:t>--------</w:t>
            </w:r>
          </w:p>
        </w:tc>
        <w:tc>
          <w:tcPr>
            <w:tcW w:w="5631" w:type="dxa"/>
            <w:tcMar>
              <w:top w:w="0" w:type="dxa"/>
              <w:left w:w="108" w:type="dxa"/>
              <w:bottom w:w="0" w:type="dxa"/>
              <w:right w:w="108" w:type="dxa"/>
            </w:tcMar>
            <w:hideMark/>
          </w:tcPr>
          <w:p w:rsidR="00254EB3" w:rsidRDefault="00254EB3">
            <w:pPr>
              <w:pStyle w:val="NormalWeb"/>
              <w:spacing w:before="120" w:beforeAutospacing="0"/>
              <w:jc w:val="center"/>
            </w:pPr>
            <w:r w:rsidRPr="00327723">
              <w:rPr>
                <w:b/>
                <w:bCs/>
                <w:sz w:val="20"/>
                <w:szCs w:val="20"/>
              </w:rPr>
              <w:t>CỘNG HÒA XÃ HỘI CHỦ NGHĨA VIỆT NAM</w:t>
            </w:r>
            <w:r w:rsidRPr="00327723">
              <w:rPr>
                <w:b/>
                <w:bCs/>
                <w:sz w:val="20"/>
                <w:szCs w:val="20"/>
              </w:rPr>
              <w:br/>
              <w:t>Độc lập - Tự do - Hạnh phúc</w:t>
            </w:r>
            <w:r w:rsidRPr="00327723">
              <w:rPr>
                <w:b/>
                <w:bCs/>
                <w:sz w:val="20"/>
                <w:szCs w:val="20"/>
              </w:rPr>
              <w:br/>
              <w:t>----------------</w:t>
            </w:r>
          </w:p>
        </w:tc>
      </w:tr>
      <w:tr w:rsidR="00254EB3">
        <w:trPr>
          <w:divId w:val="719551558"/>
        </w:trPr>
        <w:tc>
          <w:tcPr>
            <w:tcW w:w="3348" w:type="dxa"/>
            <w:tcMar>
              <w:top w:w="0" w:type="dxa"/>
              <w:left w:w="108" w:type="dxa"/>
              <w:bottom w:w="0" w:type="dxa"/>
              <w:right w:w="108" w:type="dxa"/>
            </w:tcMar>
            <w:hideMark/>
          </w:tcPr>
          <w:p w:rsidR="00254EB3" w:rsidRDefault="00254EB3">
            <w:pPr>
              <w:pStyle w:val="NormalWeb"/>
              <w:spacing w:before="120" w:beforeAutospacing="0"/>
            </w:pPr>
            <w:r w:rsidRPr="00327723">
              <w:rPr>
                <w:sz w:val="20"/>
                <w:szCs w:val="20"/>
              </w:rPr>
              <w:t>Số: 7119/TCHQ-TXNK</w:t>
            </w:r>
            <w:r w:rsidRPr="00327723">
              <w:rPr>
                <w:sz w:val="20"/>
                <w:szCs w:val="20"/>
              </w:rPr>
              <w:br/>
            </w:r>
            <w:r w:rsidRPr="00327723">
              <w:rPr>
                <w:i/>
                <w:iCs/>
                <w:sz w:val="16"/>
                <w:szCs w:val="16"/>
              </w:rPr>
              <w:t>V/v thanh lý vật tư đã được miễn thuế NK và thuế GTGT</w:t>
            </w:r>
          </w:p>
        </w:tc>
        <w:tc>
          <w:tcPr>
            <w:tcW w:w="5631" w:type="dxa"/>
            <w:tcMar>
              <w:top w:w="0" w:type="dxa"/>
              <w:left w:w="108" w:type="dxa"/>
              <w:bottom w:w="0" w:type="dxa"/>
              <w:right w:w="108" w:type="dxa"/>
            </w:tcMar>
            <w:hideMark/>
          </w:tcPr>
          <w:p w:rsidR="00254EB3" w:rsidRDefault="00254EB3">
            <w:pPr>
              <w:pStyle w:val="NormalWeb"/>
              <w:spacing w:before="120" w:beforeAutospacing="0"/>
              <w:jc w:val="right"/>
            </w:pPr>
            <w:r w:rsidRPr="00327723">
              <w:rPr>
                <w:i/>
                <w:iCs/>
                <w:sz w:val="20"/>
                <w:szCs w:val="20"/>
              </w:rPr>
              <w:t>Hà Nội, ngày 18 tháng 12 năm 2012</w:t>
            </w:r>
          </w:p>
        </w:tc>
      </w:tr>
    </w:tbl>
    <w:p w:rsidR="00254EB3" w:rsidRDefault="00254EB3">
      <w:pPr>
        <w:pStyle w:val="NormalWeb"/>
        <w:spacing w:before="120" w:beforeAutospacing="0"/>
        <w:divId w:val="719551558"/>
      </w:pPr>
      <w:r>
        <w:rPr>
          <w:sz w:val="20"/>
          <w:szCs w:val="20"/>
        </w:rPr>
        <w:t> </w:t>
      </w:r>
    </w:p>
    <w:tbl>
      <w:tblPr>
        <w:tblW w:w="0" w:type="auto"/>
        <w:tblCellMar>
          <w:left w:w="0" w:type="dxa"/>
          <w:right w:w="0" w:type="dxa"/>
        </w:tblCellMar>
        <w:tblLook w:val="04A0"/>
      </w:tblPr>
      <w:tblGrid>
        <w:gridCol w:w="3015"/>
        <w:gridCol w:w="5876"/>
      </w:tblGrid>
      <w:tr w:rsidR="00254EB3">
        <w:trPr>
          <w:divId w:val="719551558"/>
        </w:trPr>
        <w:tc>
          <w:tcPr>
            <w:tcW w:w="3015" w:type="dxa"/>
            <w:tcMar>
              <w:top w:w="0" w:type="dxa"/>
              <w:left w:w="108" w:type="dxa"/>
              <w:bottom w:w="0" w:type="dxa"/>
              <w:right w:w="108" w:type="dxa"/>
            </w:tcMar>
            <w:hideMark/>
          </w:tcPr>
          <w:p w:rsidR="00254EB3" w:rsidRDefault="00254EB3">
            <w:pPr>
              <w:pStyle w:val="NormalWeb"/>
              <w:spacing w:before="120" w:beforeAutospacing="0"/>
              <w:jc w:val="right"/>
            </w:pPr>
            <w:r w:rsidRPr="00327723">
              <w:rPr>
                <w:b/>
                <w:bCs/>
                <w:sz w:val="20"/>
                <w:szCs w:val="20"/>
              </w:rPr>
              <w:t xml:space="preserve">Kính gửi: </w:t>
            </w:r>
          </w:p>
        </w:tc>
        <w:tc>
          <w:tcPr>
            <w:tcW w:w="5876" w:type="dxa"/>
            <w:tcMar>
              <w:top w:w="0" w:type="dxa"/>
              <w:left w:w="108" w:type="dxa"/>
              <w:bottom w:w="0" w:type="dxa"/>
              <w:right w:w="108" w:type="dxa"/>
            </w:tcMar>
            <w:hideMark/>
          </w:tcPr>
          <w:p w:rsidR="00254EB3" w:rsidRDefault="00254EB3">
            <w:pPr>
              <w:pStyle w:val="NormalWeb"/>
              <w:spacing w:before="120" w:beforeAutospacing="0"/>
            </w:pPr>
            <w:r w:rsidRPr="00327723">
              <w:rPr>
                <w:sz w:val="20"/>
                <w:szCs w:val="20"/>
              </w:rPr>
              <w:t>Công ty liên doanh điều hành Vietgazprom.</w:t>
            </w:r>
            <w:r w:rsidRPr="00327723">
              <w:rPr>
                <w:sz w:val="20"/>
                <w:szCs w:val="20"/>
              </w:rPr>
              <w:br/>
              <w:t>(P.804, Trung tâm thương mại Daeha, số 360 Kim Mã, Ba Đình, Hà Nội)</w:t>
            </w:r>
          </w:p>
        </w:tc>
      </w:tr>
    </w:tbl>
    <w:p w:rsidR="00254EB3" w:rsidRDefault="00254EB3">
      <w:pPr>
        <w:pStyle w:val="NormalWeb"/>
        <w:spacing w:before="120" w:beforeAutospacing="0"/>
        <w:divId w:val="719551558"/>
      </w:pPr>
      <w:r>
        <w:rPr>
          <w:sz w:val="20"/>
          <w:szCs w:val="20"/>
        </w:rPr>
        <w:t> </w:t>
      </w:r>
    </w:p>
    <w:p w:rsidR="00254EB3" w:rsidRDefault="00254EB3">
      <w:pPr>
        <w:pStyle w:val="NormalWeb"/>
        <w:spacing w:before="120" w:beforeAutospacing="0"/>
        <w:divId w:val="719551558"/>
      </w:pPr>
      <w:r>
        <w:rPr>
          <w:sz w:val="20"/>
          <w:szCs w:val="20"/>
        </w:rPr>
        <w:t>Trả lời công văn số 11-03-04-1692 của Công ty liên doanh điều hành Vietgazprom về việc thanh lý vật tư nhập khẩu miễn thuế đã qua sử dụng cho dự án khoan thăm dò dầu khí tại lô 112-113, Tổng cục Hải quan có ý kiến như sau:</w:t>
      </w:r>
    </w:p>
    <w:p w:rsidR="00254EB3" w:rsidRDefault="00254EB3">
      <w:pPr>
        <w:pStyle w:val="NormalWeb"/>
        <w:spacing w:before="120" w:beforeAutospacing="0"/>
        <w:divId w:val="719551558"/>
      </w:pPr>
      <w:r>
        <w:rPr>
          <w:sz w:val="20"/>
          <w:szCs w:val="20"/>
        </w:rPr>
        <w:t>Căn cứ quy định tại khoản 8 Điều 10, khoản 1 Điều 96 Thông tư số 194/2010/TT-BTC ngày 06/12/2010 của Bộ Tài chính.</w:t>
      </w:r>
    </w:p>
    <w:p w:rsidR="00254EB3" w:rsidRDefault="00254EB3">
      <w:pPr>
        <w:pStyle w:val="NormalWeb"/>
        <w:spacing w:before="120" w:beforeAutospacing="0"/>
        <w:divId w:val="719551558"/>
      </w:pPr>
      <w:r>
        <w:rPr>
          <w:sz w:val="20"/>
          <w:szCs w:val="20"/>
        </w:rPr>
        <w:t>Căn cứ quy định tại khoản 26 Điều 4 Thông tư số 06/2012/TT-BTC ngày 11/01/2012 của Bộ Tài chính.</w:t>
      </w:r>
    </w:p>
    <w:p w:rsidR="00254EB3" w:rsidRDefault="00254EB3">
      <w:pPr>
        <w:pStyle w:val="NormalWeb"/>
        <w:spacing w:before="120" w:beforeAutospacing="0"/>
        <w:divId w:val="719551558"/>
      </w:pPr>
      <w:r>
        <w:rPr>
          <w:sz w:val="20"/>
          <w:szCs w:val="20"/>
        </w:rPr>
        <w:t>Đối chiếu với quy định nêu trên, trường hợp Công ty liên doanh điều hành Vietgazprom thanh lý vật tư, thiết bị đã được xác định là đối tượng không chịu thuế GTGT và được miễn thuế nhập khẩu thì khi thanh lý phải kê khai nộp thuế nhập khẩu, thuế GTGT theo quy định. Trong đó:</w:t>
      </w:r>
    </w:p>
    <w:p w:rsidR="00254EB3" w:rsidRDefault="00254EB3">
      <w:pPr>
        <w:pStyle w:val="NormalWeb"/>
        <w:spacing w:before="120" w:beforeAutospacing="0"/>
        <w:divId w:val="719551558"/>
      </w:pPr>
      <w:r>
        <w:rPr>
          <w:sz w:val="20"/>
          <w:szCs w:val="20"/>
        </w:rPr>
        <w:t>- Trị giá tính thuế được xác định trên cơ sở giá trị sử dụng còn lại của hàng hóa, tính theo thời gian sử dụng tại Việt Nam (tính từ thời điểm nhập khẩu theo tờ khai hải quan đến thời điểm tính thuế) và được quy định cụ thể tại khoản 1 Điều 20 Thông tư số 205/2010/TT-BTC.</w:t>
      </w:r>
    </w:p>
    <w:p w:rsidR="00254EB3" w:rsidRDefault="00254EB3">
      <w:pPr>
        <w:pStyle w:val="NormalWeb"/>
        <w:spacing w:before="120" w:beforeAutospacing="0"/>
        <w:divId w:val="719551558"/>
      </w:pPr>
      <w:r>
        <w:rPr>
          <w:sz w:val="20"/>
          <w:szCs w:val="20"/>
        </w:rPr>
        <w:t>- Thuế suất để tính thuế nhập khẩu không phân biệt hàng hóa khi nhập khẩu ban đầu là hàng hóa mới hay đã qua sử dụng áp dụng theo mức thuế suất của hàng hóa mới tại thời điểm có sự thay đổi mục đích sử dụng</w:t>
      </w:r>
    </w:p>
    <w:p w:rsidR="00254EB3" w:rsidRDefault="00254EB3">
      <w:pPr>
        <w:pStyle w:val="NormalWeb"/>
        <w:spacing w:before="120" w:beforeAutospacing="0"/>
        <w:divId w:val="719551558"/>
      </w:pPr>
      <w:r>
        <w:rPr>
          <w:sz w:val="20"/>
          <w:szCs w:val="20"/>
        </w:rPr>
        <w:t>- Căn cứ để xác định thời điểm có sự thay đổi mục đích sử dụng thực hiện theo hướng dẫn tại Điều 96 Thông tư số 194/2010/TT-BTC.</w:t>
      </w:r>
    </w:p>
    <w:p w:rsidR="00254EB3" w:rsidRDefault="00254EB3">
      <w:pPr>
        <w:pStyle w:val="NormalWeb"/>
        <w:spacing w:before="120" w:beforeAutospacing="0"/>
        <w:divId w:val="719551558"/>
      </w:pPr>
      <w:r>
        <w:rPr>
          <w:sz w:val="20"/>
          <w:szCs w:val="20"/>
        </w:rPr>
        <w:t>Tổng cục Hải quan thông báo để Công ty liên doanh điều hành Vietgazprom biết và thực hiện./.</w:t>
      </w:r>
    </w:p>
    <w:p w:rsidR="00254EB3" w:rsidRDefault="00254EB3">
      <w:pPr>
        <w:pStyle w:val="NormalWeb"/>
        <w:spacing w:before="120" w:beforeAutospacing="0"/>
        <w:divId w:val="719551558"/>
      </w:pPr>
      <w:r>
        <w:rPr>
          <w:sz w:val="20"/>
          <w:szCs w:val="20"/>
        </w:rPr>
        <w:t> </w:t>
      </w:r>
    </w:p>
    <w:tbl>
      <w:tblPr>
        <w:tblW w:w="0" w:type="auto"/>
        <w:tblCellMar>
          <w:left w:w="0" w:type="dxa"/>
          <w:right w:w="0" w:type="dxa"/>
        </w:tblCellMar>
        <w:tblLook w:val="04A0"/>
      </w:tblPr>
      <w:tblGrid>
        <w:gridCol w:w="3984"/>
        <w:gridCol w:w="5187"/>
      </w:tblGrid>
      <w:tr w:rsidR="00254EB3">
        <w:trPr>
          <w:divId w:val="719551558"/>
        </w:trPr>
        <w:tc>
          <w:tcPr>
            <w:tcW w:w="3984" w:type="dxa"/>
            <w:tcMar>
              <w:top w:w="0" w:type="dxa"/>
              <w:left w:w="108" w:type="dxa"/>
              <w:bottom w:w="0" w:type="dxa"/>
              <w:right w:w="108" w:type="dxa"/>
            </w:tcMar>
            <w:hideMark/>
          </w:tcPr>
          <w:p w:rsidR="00254EB3" w:rsidRDefault="00254EB3">
            <w:pPr>
              <w:pStyle w:val="NormalWeb"/>
              <w:spacing w:before="120" w:beforeAutospacing="0"/>
            </w:pPr>
            <w:r w:rsidRPr="00327723">
              <w:rPr>
                <w:b/>
                <w:bCs/>
                <w:i/>
                <w:iCs/>
                <w:sz w:val="16"/>
                <w:szCs w:val="16"/>
              </w:rPr>
              <w:t> </w:t>
            </w:r>
          </w:p>
          <w:p w:rsidR="00254EB3" w:rsidRDefault="00254EB3">
            <w:pPr>
              <w:pStyle w:val="NormalWeb"/>
              <w:spacing w:before="120" w:beforeAutospacing="0"/>
            </w:pPr>
            <w:r w:rsidRPr="00327723">
              <w:rPr>
                <w:b/>
                <w:bCs/>
                <w:i/>
                <w:iCs/>
                <w:sz w:val="20"/>
                <w:szCs w:val="20"/>
              </w:rPr>
              <w:t>Nơi nhận:</w:t>
            </w:r>
            <w:r w:rsidRPr="00327723">
              <w:rPr>
                <w:b/>
                <w:bCs/>
                <w:i/>
                <w:iCs/>
                <w:sz w:val="20"/>
                <w:szCs w:val="20"/>
              </w:rPr>
              <w:br/>
            </w:r>
            <w:r w:rsidRPr="00327723">
              <w:rPr>
                <w:sz w:val="16"/>
                <w:szCs w:val="16"/>
              </w:rPr>
              <w:t>- Như trên;</w:t>
            </w:r>
            <w:r w:rsidRPr="00327723">
              <w:rPr>
                <w:sz w:val="16"/>
                <w:szCs w:val="16"/>
              </w:rPr>
              <w:br/>
              <w:t>- PTCT Hoàng Việt Cường (để b/cáo);</w:t>
            </w:r>
            <w:r w:rsidRPr="00327723">
              <w:rPr>
                <w:sz w:val="16"/>
                <w:szCs w:val="16"/>
              </w:rPr>
              <w:br/>
              <w:t>- Lưu: VT, TXNK (3).</w:t>
            </w:r>
          </w:p>
        </w:tc>
        <w:tc>
          <w:tcPr>
            <w:tcW w:w="5187" w:type="dxa"/>
            <w:tcMar>
              <w:top w:w="0" w:type="dxa"/>
              <w:left w:w="108" w:type="dxa"/>
              <w:bottom w:w="0" w:type="dxa"/>
              <w:right w:w="108" w:type="dxa"/>
            </w:tcMar>
            <w:hideMark/>
          </w:tcPr>
          <w:p w:rsidR="00254EB3" w:rsidRDefault="00254EB3">
            <w:pPr>
              <w:pStyle w:val="NormalWeb"/>
              <w:spacing w:before="120" w:beforeAutospacing="0"/>
              <w:jc w:val="center"/>
            </w:pPr>
            <w:r w:rsidRPr="00327723">
              <w:rPr>
                <w:b/>
                <w:bCs/>
                <w:sz w:val="20"/>
                <w:szCs w:val="20"/>
              </w:rPr>
              <w:t>TL. TỔNG CỤC TRƯỞNG</w:t>
            </w:r>
            <w:r w:rsidRPr="00327723">
              <w:rPr>
                <w:b/>
                <w:bCs/>
                <w:sz w:val="20"/>
                <w:szCs w:val="20"/>
              </w:rPr>
              <w:br/>
              <w:t>KT. CỤC TRƯỞNG CỤC THUẾ XNK</w:t>
            </w:r>
            <w:r w:rsidRPr="00327723">
              <w:rPr>
                <w:b/>
                <w:bCs/>
                <w:sz w:val="20"/>
                <w:szCs w:val="20"/>
              </w:rPr>
              <w:br/>
              <w:t>PHÓ CỤC TRƯỞNG</w:t>
            </w:r>
            <w:r w:rsidRPr="00327723">
              <w:rPr>
                <w:b/>
                <w:bCs/>
                <w:sz w:val="20"/>
                <w:szCs w:val="20"/>
              </w:rPr>
              <w:br/>
            </w:r>
            <w:r w:rsidRPr="00327723">
              <w:rPr>
                <w:b/>
                <w:bCs/>
                <w:sz w:val="20"/>
                <w:szCs w:val="20"/>
              </w:rPr>
              <w:br/>
            </w:r>
            <w:r w:rsidRPr="00327723">
              <w:rPr>
                <w:b/>
                <w:bCs/>
                <w:sz w:val="20"/>
                <w:szCs w:val="20"/>
              </w:rPr>
              <w:br/>
            </w:r>
            <w:r w:rsidRPr="00327723">
              <w:rPr>
                <w:b/>
                <w:bCs/>
                <w:sz w:val="20"/>
                <w:szCs w:val="20"/>
              </w:rPr>
              <w:br/>
            </w:r>
            <w:r w:rsidRPr="00327723">
              <w:rPr>
                <w:b/>
                <w:bCs/>
                <w:sz w:val="20"/>
                <w:szCs w:val="20"/>
              </w:rPr>
              <w:br/>
              <w:t>Lưu Mạnh Tưởng</w:t>
            </w:r>
          </w:p>
        </w:tc>
      </w:tr>
    </w:tbl>
    <w:p w:rsidR="00254EB3" w:rsidRDefault="00254EB3">
      <w:pPr>
        <w:pStyle w:val="NormalWeb"/>
        <w:spacing w:before="120" w:beforeAutospacing="0"/>
        <w:divId w:val="719551558"/>
      </w:pPr>
      <w:r>
        <w:rPr>
          <w:b/>
          <w:bCs/>
          <w:sz w:val="20"/>
          <w:szCs w:val="20"/>
        </w:rPr>
        <w:t> </w:t>
      </w:r>
    </w:p>
    <w:sectPr w:rsidR="00254E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noPunctuationKerning/>
  <w:characterSpacingControl w:val="doNotCompress"/>
  <w:compat/>
  <w:rsids>
    <w:rsidRoot w:val="00C02443"/>
    <w:rsid w:val="00254EB3"/>
    <w:rsid w:val="00327723"/>
    <w:rsid w:val="00C024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19551558">
      <w:marLeft w:val="0"/>
      <w:marRight w:val="0"/>
      <w:marTop w:val="0"/>
      <w:marBottom w:val="0"/>
      <w:divBdr>
        <w:top w:val="none" w:sz="0" w:space="0" w:color="auto"/>
        <w:left w:val="none" w:sz="0" w:space="0" w:color="auto"/>
        <w:bottom w:val="none" w:sz="0" w:space="0" w:color="auto"/>
        <w:right w:val="none" w:sz="0" w:space="0" w:color="auto"/>
      </w:divBdr>
    </w:div>
  </w:divs>
  <w:encoding w:val="unicod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elcome\My%20Documents\CV-7119-TCHQ-18-12-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CV-7119-TCHQ-18-12-2012</Template>
  <TotalTime>1</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MaiHoang</dc:creator>
  <cp:keywords/>
  <dc:description/>
  <cp:lastModifiedBy>MaiHoang</cp:lastModifiedBy>
  <cp:revision>1</cp:revision>
  <dcterms:created xsi:type="dcterms:W3CDTF">2013-01-08T01:32:00Z</dcterms:created>
  <dcterms:modified xsi:type="dcterms:W3CDTF">2013-01-08T01:33:00Z</dcterms:modified>
</cp:coreProperties>
</file>